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330"/>
        <w:jc w:val="center"/>
        <w:rPr>
          <w:rFonts w:ascii="黑体" w:hAnsi="黑体" w:eastAsia="黑体" w:cs="Adobe 楷体 Std R"/>
          <w:b/>
          <w:w w:val="150"/>
          <w:sz w:val="44"/>
          <w:szCs w:val="52"/>
        </w:rPr>
      </w:pPr>
    </w:p>
    <w:p>
      <w:pPr>
        <w:spacing w:line="360" w:lineRule="auto"/>
        <w:ind w:firstLine="1330"/>
        <w:jc w:val="center"/>
        <w:rPr>
          <w:rFonts w:ascii="黑体" w:hAnsi="黑体" w:eastAsia="黑体" w:cs="Adobe 楷体 Std R"/>
          <w:b/>
          <w:w w:val="150"/>
          <w:sz w:val="44"/>
          <w:szCs w:val="52"/>
        </w:rPr>
      </w:pPr>
    </w:p>
    <w:p>
      <w:pPr>
        <w:spacing w:line="360" w:lineRule="auto"/>
        <w:ind w:firstLine="1320"/>
        <w:rPr>
          <w:rFonts w:ascii="黑体" w:hAnsi="黑体" w:eastAsia="黑体" w:cs="Adobe 楷体 Std R"/>
          <w:w w:val="150"/>
          <w:sz w:val="44"/>
          <w:szCs w:val="52"/>
        </w:rPr>
      </w:pPr>
    </w:p>
    <w:p>
      <w:pPr>
        <w:spacing w:line="700" w:lineRule="exact"/>
        <w:jc w:val="center"/>
        <w:rPr>
          <w:rFonts w:ascii="黑体" w:hAnsi="黑体" w:eastAsia="黑体" w:cs="Adobe 楷体 Std R"/>
          <w:color w:val="auto"/>
          <w:w w:val="150"/>
          <w:sz w:val="44"/>
          <w:szCs w:val="52"/>
        </w:rPr>
      </w:pPr>
      <w:r>
        <w:rPr>
          <w:rFonts w:hint="eastAsia" w:ascii="黑体" w:hAnsi="黑体" w:eastAsia="黑体" w:cs="Adobe 楷体 Std R"/>
          <w:color w:val="auto"/>
          <w:w w:val="150"/>
          <w:sz w:val="44"/>
          <w:szCs w:val="52"/>
        </w:rPr>
        <w:t>花城汇商业区LED屏2023年度维修保养服务采购项目</w:t>
      </w:r>
    </w:p>
    <w:p>
      <w:pPr>
        <w:spacing w:line="360" w:lineRule="auto"/>
        <w:ind w:firstLine="1330"/>
        <w:jc w:val="center"/>
        <w:rPr>
          <w:rFonts w:ascii="黑体" w:hAnsi="黑体" w:eastAsia="黑体" w:cs="Adobe 楷体 Std R"/>
          <w:b/>
          <w:w w:val="150"/>
          <w:sz w:val="44"/>
          <w:szCs w:val="52"/>
        </w:rPr>
      </w:pPr>
    </w:p>
    <w:p>
      <w:pPr>
        <w:spacing w:line="360" w:lineRule="auto"/>
        <w:ind w:firstLine="544"/>
        <w:jc w:val="center"/>
        <w:rPr>
          <w:rFonts w:ascii="黑体" w:hAnsi="黑体" w:eastAsia="黑体" w:cs="Adobe 楷体 Std R"/>
          <w:b/>
          <w:w w:val="150"/>
          <w:sz w:val="18"/>
          <w:szCs w:val="18"/>
        </w:rPr>
      </w:pPr>
    </w:p>
    <w:p>
      <w:pPr>
        <w:spacing w:line="360" w:lineRule="auto"/>
        <w:jc w:val="center"/>
        <w:rPr>
          <w:rFonts w:ascii="黑体" w:hAnsi="黑体" w:eastAsia="黑体" w:cs="Adobe 楷体 Std R"/>
          <w:w w:val="150"/>
          <w:sz w:val="72"/>
          <w:szCs w:val="72"/>
        </w:rPr>
      </w:pPr>
      <w:r>
        <w:rPr>
          <w:rFonts w:hint="eastAsia" w:ascii="黑体" w:hAnsi="黑体" w:eastAsia="黑体" w:cs="Adobe 楷体 Std R"/>
          <w:w w:val="150"/>
          <w:sz w:val="72"/>
          <w:szCs w:val="72"/>
        </w:rPr>
        <w:t>竞选文件</w:t>
      </w:r>
    </w:p>
    <w:p>
      <w:pPr>
        <w:spacing w:line="360" w:lineRule="auto"/>
        <w:ind w:firstLine="723"/>
        <w:rPr>
          <w:rFonts w:ascii="宋体" w:hAnsi="宋体"/>
          <w:b/>
          <w:bCs/>
          <w:sz w:val="36"/>
          <w:szCs w:val="36"/>
        </w:rPr>
      </w:pPr>
    </w:p>
    <w:p>
      <w:pPr>
        <w:spacing w:line="360" w:lineRule="auto"/>
        <w:ind w:firstLine="1247" w:firstLineChars="345"/>
        <w:rPr>
          <w:rFonts w:ascii="宋体" w:hAnsi="宋体"/>
          <w:b/>
          <w:bCs/>
          <w:sz w:val="36"/>
          <w:szCs w:val="36"/>
        </w:rPr>
      </w:pPr>
    </w:p>
    <w:p>
      <w:pPr>
        <w:spacing w:line="360" w:lineRule="auto"/>
        <w:ind w:firstLine="1247" w:firstLineChars="345"/>
        <w:rPr>
          <w:rFonts w:ascii="宋体" w:hAnsi="宋体"/>
          <w:b/>
          <w:bCs/>
          <w:sz w:val="36"/>
          <w:szCs w:val="36"/>
        </w:rPr>
      </w:pPr>
    </w:p>
    <w:p>
      <w:pPr>
        <w:spacing w:line="360" w:lineRule="auto"/>
        <w:ind w:firstLine="1247" w:firstLineChars="345"/>
        <w:rPr>
          <w:rFonts w:ascii="宋体" w:hAnsi="宋体"/>
          <w:b/>
          <w:bCs/>
          <w:sz w:val="36"/>
          <w:szCs w:val="36"/>
        </w:rPr>
      </w:pPr>
    </w:p>
    <w:p>
      <w:pPr>
        <w:spacing w:line="360" w:lineRule="auto"/>
        <w:ind w:firstLine="1247" w:firstLineChars="345"/>
        <w:rPr>
          <w:rFonts w:ascii="宋体" w:hAnsi="宋体"/>
          <w:b/>
          <w:bCs/>
          <w:sz w:val="36"/>
          <w:szCs w:val="36"/>
        </w:rPr>
      </w:pPr>
    </w:p>
    <w:p>
      <w:pPr>
        <w:spacing w:line="360" w:lineRule="auto"/>
        <w:ind w:firstLine="723"/>
        <w:rPr>
          <w:rFonts w:ascii="宋体" w:hAnsi="宋体"/>
          <w:b/>
          <w:bCs/>
          <w:sz w:val="36"/>
          <w:szCs w:val="36"/>
        </w:rPr>
      </w:pPr>
    </w:p>
    <w:p>
      <w:pPr>
        <w:spacing w:line="360" w:lineRule="auto"/>
        <w:ind w:firstLine="1247" w:firstLineChars="345"/>
        <w:rPr>
          <w:rFonts w:ascii="宋体" w:hAnsi="宋体"/>
          <w:b/>
          <w:bCs/>
          <w:sz w:val="36"/>
          <w:szCs w:val="36"/>
        </w:rPr>
      </w:pPr>
    </w:p>
    <w:p>
      <w:pPr>
        <w:spacing w:line="360" w:lineRule="auto"/>
        <w:ind w:firstLine="723"/>
        <w:rPr>
          <w:rFonts w:ascii="宋体" w:hAnsi="宋体"/>
          <w:b/>
          <w:bCs/>
          <w:sz w:val="36"/>
          <w:szCs w:val="36"/>
        </w:rPr>
      </w:pPr>
    </w:p>
    <w:p>
      <w:pPr>
        <w:spacing w:line="360" w:lineRule="auto"/>
        <w:ind w:firstLine="723"/>
        <w:rPr>
          <w:rFonts w:ascii="宋体" w:hAnsi="宋体"/>
          <w:b/>
          <w:bCs/>
          <w:sz w:val="36"/>
          <w:szCs w:val="36"/>
        </w:rPr>
      </w:pPr>
    </w:p>
    <w:p>
      <w:pPr>
        <w:spacing w:line="360" w:lineRule="auto"/>
        <w:ind w:firstLine="723"/>
        <w:rPr>
          <w:rFonts w:ascii="宋体" w:hAnsi="宋体"/>
          <w:b/>
          <w:bCs/>
          <w:sz w:val="36"/>
          <w:szCs w:val="36"/>
        </w:rPr>
      </w:pPr>
    </w:p>
    <w:p>
      <w:pPr>
        <w:spacing w:line="360" w:lineRule="auto"/>
        <w:ind w:firstLine="723"/>
        <w:rPr>
          <w:rFonts w:ascii="宋体" w:hAnsi="宋体"/>
          <w:b/>
          <w:bCs/>
          <w:sz w:val="36"/>
          <w:szCs w:val="36"/>
        </w:rPr>
      </w:pPr>
    </w:p>
    <w:p>
      <w:pPr>
        <w:spacing w:line="360" w:lineRule="auto"/>
        <w:jc w:val="center"/>
        <w:rPr>
          <w:rFonts w:ascii="宋体" w:hAnsi="宋体" w:cs="宋体"/>
          <w:bCs/>
          <w:sz w:val="32"/>
          <w:szCs w:val="32"/>
        </w:rPr>
      </w:pPr>
      <w:r>
        <w:rPr>
          <w:rFonts w:hint="eastAsia" w:ascii="宋体" w:hAnsi="宋体" w:cs="宋体"/>
          <w:bCs/>
          <w:sz w:val="32"/>
          <w:szCs w:val="32"/>
        </w:rPr>
        <w:t>广州市城投资产经营管理有限公司珠江新城分公司</w:t>
      </w:r>
    </w:p>
    <w:p>
      <w:pPr>
        <w:spacing w:line="360" w:lineRule="auto"/>
        <w:jc w:val="center"/>
        <w:rPr>
          <w:rFonts w:ascii="宋体" w:hAnsi="宋体"/>
          <w:color w:val="auto"/>
          <w:sz w:val="32"/>
          <w:szCs w:val="32"/>
        </w:rPr>
      </w:pPr>
      <w:r>
        <w:rPr>
          <w:rFonts w:hint="eastAsia" w:ascii="宋体" w:hAnsi="宋体" w:cs="宋体"/>
          <w:bCs/>
          <w:color w:val="auto"/>
          <w:sz w:val="32"/>
          <w:szCs w:val="32"/>
        </w:rPr>
        <w:t>2022年12月</w:t>
      </w:r>
    </w:p>
    <w:p>
      <w:pPr>
        <w:spacing w:line="360" w:lineRule="auto"/>
        <w:ind w:firstLine="883"/>
        <w:rPr>
          <w:rFonts w:ascii="宋体" w:hAnsi="宋体" w:cs="宋体"/>
          <w:b/>
          <w:sz w:val="44"/>
          <w:szCs w:val="44"/>
        </w:rPr>
      </w:pPr>
    </w:p>
    <w:p>
      <w:pPr>
        <w:keepNext/>
        <w:keepLines/>
        <w:widowControl/>
        <w:spacing w:line="480" w:lineRule="auto"/>
        <w:jc w:val="center"/>
        <w:rPr>
          <w:rFonts w:ascii="Cambria" w:hAnsi="Cambria"/>
          <w:b/>
          <w:bCs/>
          <w:kern w:val="0"/>
          <w:sz w:val="44"/>
          <w:szCs w:val="44"/>
          <w:lang w:val="zh-CN"/>
        </w:rPr>
      </w:pPr>
      <w:r>
        <w:rPr>
          <w:rFonts w:ascii="Cambria" w:hAnsi="Cambria"/>
          <w:b/>
          <w:bCs/>
          <w:kern w:val="0"/>
          <w:sz w:val="44"/>
          <w:szCs w:val="44"/>
          <w:lang w:val="zh-CN"/>
        </w:rPr>
        <w:t>目录</w:t>
      </w:r>
    </w:p>
    <w:p>
      <w:pPr>
        <w:pStyle w:val="12"/>
        <w:tabs>
          <w:tab w:val="right" w:leader="dot" w:pos="8902"/>
        </w:tabs>
        <w:rPr>
          <w:rFonts w:asciiTheme="minorHAnsi" w:hAnsiTheme="minorHAnsi" w:eastAsiaTheme="minorEastAsia" w:cstheme="minorBidi"/>
          <w:b w:val="0"/>
          <w:sz w:val="21"/>
        </w:rPr>
      </w:pPr>
      <w:r>
        <w:rPr>
          <w:rFonts w:ascii="Times New Roman" w:hAnsi="Times New Roman"/>
          <w:bCs/>
          <w:caps/>
          <w:sz w:val="30"/>
          <w:szCs w:val="30"/>
        </w:rPr>
        <w:fldChar w:fldCharType="begin"/>
      </w:r>
      <w:r>
        <w:rPr>
          <w:rFonts w:ascii="Times New Roman" w:hAnsi="Times New Roman"/>
          <w:bCs/>
          <w:caps/>
          <w:sz w:val="30"/>
          <w:szCs w:val="30"/>
        </w:rPr>
        <w:instrText xml:space="preserve"> TOC \o "1-3" \h \z \u </w:instrText>
      </w:r>
      <w:r>
        <w:rPr>
          <w:rFonts w:ascii="Times New Roman" w:hAnsi="Times New Roman"/>
          <w:bCs/>
          <w:caps/>
          <w:sz w:val="30"/>
          <w:szCs w:val="30"/>
        </w:rPr>
        <w:fldChar w:fldCharType="separate"/>
      </w:r>
      <w:r>
        <w:fldChar w:fldCharType="begin"/>
      </w:r>
      <w:r>
        <w:instrText xml:space="preserve"> HYPERLINK \l "_Toc24378764" </w:instrText>
      </w:r>
      <w:r>
        <w:fldChar w:fldCharType="separate"/>
      </w:r>
      <w:r>
        <w:rPr>
          <w:rStyle w:val="19"/>
          <w:rFonts w:hint="eastAsia" w:ascii="宋体" w:hAnsi="宋体"/>
          <w:color w:val="auto"/>
        </w:rPr>
        <w:t>第一部分</w:t>
      </w:r>
      <w:r>
        <w:rPr>
          <w:rStyle w:val="19"/>
          <w:rFonts w:ascii="宋体" w:hAnsi="宋体"/>
          <w:color w:val="auto"/>
        </w:rPr>
        <w:t xml:space="preserve"> </w:t>
      </w:r>
      <w:r>
        <w:rPr>
          <w:rStyle w:val="19"/>
          <w:rFonts w:hint="eastAsia" w:ascii="宋体" w:hAnsi="宋体"/>
          <w:color w:val="auto"/>
        </w:rPr>
        <w:t>竞投人须知</w:t>
      </w:r>
      <w:r>
        <w:tab/>
      </w:r>
      <w:r>
        <w:fldChar w:fldCharType="begin"/>
      </w:r>
      <w:r>
        <w:instrText xml:space="preserve"> PAGEREF _Toc24378764 \h </w:instrText>
      </w:r>
      <w:r>
        <w:fldChar w:fldCharType="separate"/>
      </w:r>
      <w:r>
        <w:t>3</w:t>
      </w:r>
      <w:r>
        <w:fldChar w:fldCharType="end"/>
      </w:r>
      <w:r>
        <w:fldChar w:fldCharType="end"/>
      </w:r>
    </w:p>
    <w:p>
      <w:pPr>
        <w:pStyle w:val="13"/>
        <w:rPr>
          <w:rFonts w:asciiTheme="minorHAnsi" w:hAnsiTheme="minorHAnsi" w:eastAsiaTheme="minorEastAsia" w:cstheme="minorBidi"/>
          <w:b w:val="0"/>
          <w:sz w:val="21"/>
        </w:rPr>
      </w:pPr>
      <w:r>
        <w:fldChar w:fldCharType="begin"/>
      </w:r>
      <w:r>
        <w:instrText xml:space="preserve"> HYPERLINK \l "_Toc24378765" </w:instrText>
      </w:r>
      <w:r>
        <w:fldChar w:fldCharType="separate"/>
      </w:r>
      <w:r>
        <w:rPr>
          <w:rStyle w:val="19"/>
          <w:rFonts w:hint="eastAsia"/>
          <w:color w:val="auto"/>
        </w:rPr>
        <w:t>一、 总体说明</w:t>
      </w:r>
      <w:r>
        <w:tab/>
      </w:r>
      <w:r>
        <w:fldChar w:fldCharType="begin"/>
      </w:r>
      <w:r>
        <w:instrText xml:space="preserve"> PAGEREF _Toc24378765 \h </w:instrText>
      </w:r>
      <w:r>
        <w:fldChar w:fldCharType="separate"/>
      </w:r>
      <w:r>
        <w:t>3</w:t>
      </w:r>
      <w:r>
        <w:fldChar w:fldCharType="end"/>
      </w:r>
      <w:r>
        <w:fldChar w:fldCharType="end"/>
      </w:r>
    </w:p>
    <w:p>
      <w:pPr>
        <w:pStyle w:val="13"/>
        <w:rPr>
          <w:rFonts w:asciiTheme="minorHAnsi" w:hAnsiTheme="minorHAnsi" w:eastAsiaTheme="minorEastAsia" w:cstheme="minorBidi"/>
          <w:b w:val="0"/>
          <w:sz w:val="21"/>
        </w:rPr>
      </w:pPr>
      <w:r>
        <w:fldChar w:fldCharType="begin"/>
      </w:r>
      <w:r>
        <w:instrText xml:space="preserve"> HYPERLINK \l "_Toc24378766" </w:instrText>
      </w:r>
      <w:r>
        <w:fldChar w:fldCharType="separate"/>
      </w:r>
      <w:r>
        <w:rPr>
          <w:rStyle w:val="19"/>
          <w:rFonts w:hint="eastAsia"/>
          <w:color w:val="auto"/>
        </w:rPr>
        <w:t>二、 竞选文件</w:t>
      </w:r>
      <w:r>
        <w:tab/>
      </w:r>
      <w:r>
        <w:fldChar w:fldCharType="begin"/>
      </w:r>
      <w:r>
        <w:instrText xml:space="preserve"> PAGEREF _Toc24378766 \h </w:instrText>
      </w:r>
      <w:r>
        <w:fldChar w:fldCharType="separate"/>
      </w:r>
      <w:r>
        <w:t>4</w:t>
      </w:r>
      <w:r>
        <w:fldChar w:fldCharType="end"/>
      </w:r>
      <w:r>
        <w:fldChar w:fldCharType="end"/>
      </w:r>
    </w:p>
    <w:p>
      <w:pPr>
        <w:pStyle w:val="13"/>
        <w:rPr>
          <w:rFonts w:asciiTheme="minorHAnsi" w:hAnsiTheme="minorHAnsi" w:eastAsiaTheme="minorEastAsia" w:cstheme="minorBidi"/>
          <w:b w:val="0"/>
          <w:sz w:val="21"/>
        </w:rPr>
      </w:pPr>
      <w:r>
        <w:fldChar w:fldCharType="begin"/>
      </w:r>
      <w:r>
        <w:instrText xml:space="preserve"> HYPERLINK \l "_Toc24378767" </w:instrText>
      </w:r>
      <w:r>
        <w:fldChar w:fldCharType="separate"/>
      </w:r>
      <w:r>
        <w:rPr>
          <w:rStyle w:val="19"/>
          <w:rFonts w:hint="eastAsia"/>
          <w:color w:val="auto"/>
        </w:rPr>
        <w:t>三、 竞投文件</w:t>
      </w:r>
      <w:r>
        <w:tab/>
      </w:r>
      <w:r>
        <w:fldChar w:fldCharType="begin"/>
      </w:r>
      <w:r>
        <w:instrText xml:space="preserve"> PAGEREF _Toc24378767 \h </w:instrText>
      </w:r>
      <w:r>
        <w:fldChar w:fldCharType="separate"/>
      </w:r>
      <w:r>
        <w:t>4</w:t>
      </w:r>
      <w:r>
        <w:fldChar w:fldCharType="end"/>
      </w:r>
      <w:r>
        <w:fldChar w:fldCharType="end"/>
      </w:r>
    </w:p>
    <w:p>
      <w:pPr>
        <w:pStyle w:val="13"/>
        <w:rPr>
          <w:rFonts w:asciiTheme="minorHAnsi" w:hAnsiTheme="minorHAnsi" w:eastAsiaTheme="minorEastAsia" w:cstheme="minorBidi"/>
          <w:b w:val="0"/>
          <w:sz w:val="21"/>
        </w:rPr>
      </w:pPr>
      <w:r>
        <w:fldChar w:fldCharType="begin"/>
      </w:r>
      <w:r>
        <w:instrText xml:space="preserve"> HYPERLINK \l "_Toc24378768" </w:instrText>
      </w:r>
      <w:r>
        <w:fldChar w:fldCharType="separate"/>
      </w:r>
      <w:r>
        <w:rPr>
          <w:rStyle w:val="19"/>
          <w:rFonts w:hint="eastAsia"/>
          <w:color w:val="auto"/>
        </w:rPr>
        <w:t>四、 竞投总则</w:t>
      </w:r>
      <w:r>
        <w:tab/>
      </w:r>
      <w:r>
        <w:fldChar w:fldCharType="begin"/>
      </w:r>
      <w:r>
        <w:instrText xml:space="preserve"> PAGEREF _Toc24378768 \h </w:instrText>
      </w:r>
      <w:r>
        <w:fldChar w:fldCharType="separate"/>
      </w:r>
      <w:r>
        <w:t>5</w:t>
      </w:r>
      <w:r>
        <w:fldChar w:fldCharType="end"/>
      </w:r>
      <w:r>
        <w:fldChar w:fldCharType="end"/>
      </w:r>
    </w:p>
    <w:p>
      <w:pPr>
        <w:pStyle w:val="12"/>
        <w:tabs>
          <w:tab w:val="right" w:leader="dot" w:pos="8902"/>
        </w:tabs>
        <w:rPr>
          <w:rFonts w:asciiTheme="minorHAnsi" w:hAnsiTheme="minorHAnsi" w:eastAsiaTheme="minorEastAsia" w:cstheme="minorBidi"/>
          <w:b w:val="0"/>
          <w:sz w:val="21"/>
        </w:rPr>
      </w:pPr>
      <w:r>
        <w:fldChar w:fldCharType="begin"/>
      </w:r>
      <w:r>
        <w:instrText xml:space="preserve"> HYPERLINK \l "_Toc24378769" </w:instrText>
      </w:r>
      <w:r>
        <w:fldChar w:fldCharType="separate"/>
      </w:r>
      <w:r>
        <w:rPr>
          <w:rStyle w:val="19"/>
          <w:rFonts w:hint="eastAsia" w:ascii="宋体" w:hAnsi="宋体" w:cs="宋体"/>
          <w:color w:val="auto"/>
          <w:kern w:val="44"/>
        </w:rPr>
        <w:t>第二部分</w:t>
      </w:r>
      <w:r>
        <w:rPr>
          <w:rStyle w:val="19"/>
          <w:rFonts w:ascii="宋体" w:hAnsi="宋体" w:cs="宋体"/>
          <w:color w:val="auto"/>
          <w:kern w:val="44"/>
        </w:rPr>
        <w:t xml:space="preserve"> </w:t>
      </w:r>
      <w:r>
        <w:rPr>
          <w:rStyle w:val="19"/>
          <w:rFonts w:hint="eastAsia" w:ascii="宋体" w:hAnsi="宋体" w:cs="宋体"/>
          <w:color w:val="auto"/>
          <w:kern w:val="44"/>
        </w:rPr>
        <w:t>评审、选定</w:t>
      </w:r>
      <w:r>
        <w:tab/>
      </w:r>
      <w:r>
        <w:fldChar w:fldCharType="begin"/>
      </w:r>
      <w:r>
        <w:instrText xml:space="preserve"> PAGEREF _Toc24378769 \h </w:instrText>
      </w:r>
      <w:r>
        <w:fldChar w:fldCharType="separate"/>
      </w:r>
      <w:r>
        <w:t>7</w:t>
      </w:r>
      <w:r>
        <w:fldChar w:fldCharType="end"/>
      </w:r>
      <w:r>
        <w:fldChar w:fldCharType="end"/>
      </w:r>
    </w:p>
    <w:p>
      <w:pPr>
        <w:pStyle w:val="13"/>
        <w:rPr>
          <w:rFonts w:asciiTheme="minorHAnsi" w:hAnsiTheme="minorHAnsi" w:eastAsiaTheme="minorEastAsia" w:cstheme="minorBidi"/>
          <w:b w:val="0"/>
          <w:sz w:val="21"/>
        </w:rPr>
      </w:pPr>
      <w:r>
        <w:fldChar w:fldCharType="begin"/>
      </w:r>
      <w:r>
        <w:instrText xml:space="preserve"> HYPERLINK \l "_Toc24378770" </w:instrText>
      </w:r>
      <w:r>
        <w:fldChar w:fldCharType="separate"/>
      </w:r>
      <w:r>
        <w:rPr>
          <w:rStyle w:val="19"/>
          <w:rFonts w:hint="eastAsia"/>
          <w:color w:val="auto"/>
        </w:rPr>
        <w:t>一、 开启</w:t>
      </w:r>
      <w:r>
        <w:tab/>
      </w:r>
      <w:r>
        <w:fldChar w:fldCharType="begin"/>
      </w:r>
      <w:r>
        <w:instrText xml:space="preserve"> PAGEREF _Toc24378770 \h </w:instrText>
      </w:r>
      <w:r>
        <w:fldChar w:fldCharType="separate"/>
      </w:r>
      <w:r>
        <w:t>7</w:t>
      </w:r>
      <w:r>
        <w:fldChar w:fldCharType="end"/>
      </w:r>
      <w:r>
        <w:fldChar w:fldCharType="end"/>
      </w:r>
    </w:p>
    <w:p>
      <w:pPr>
        <w:pStyle w:val="13"/>
        <w:rPr>
          <w:rFonts w:asciiTheme="minorHAnsi" w:hAnsiTheme="minorHAnsi" w:eastAsiaTheme="minorEastAsia" w:cstheme="minorBidi"/>
          <w:b w:val="0"/>
          <w:sz w:val="21"/>
        </w:rPr>
      </w:pPr>
      <w:r>
        <w:fldChar w:fldCharType="begin"/>
      </w:r>
      <w:r>
        <w:instrText xml:space="preserve"> HYPERLINK \l "_Toc24378771" </w:instrText>
      </w:r>
      <w:r>
        <w:fldChar w:fldCharType="separate"/>
      </w:r>
      <w:r>
        <w:rPr>
          <w:rStyle w:val="19"/>
          <w:rFonts w:hint="eastAsia"/>
          <w:color w:val="auto"/>
        </w:rPr>
        <w:t>二、 评审</w:t>
      </w:r>
      <w:r>
        <w:tab/>
      </w:r>
      <w:r>
        <w:fldChar w:fldCharType="begin"/>
      </w:r>
      <w:r>
        <w:instrText xml:space="preserve"> PAGEREF _Toc24378771 \h </w:instrText>
      </w:r>
      <w:r>
        <w:fldChar w:fldCharType="separate"/>
      </w:r>
      <w:r>
        <w:t>7</w:t>
      </w:r>
      <w:r>
        <w:fldChar w:fldCharType="end"/>
      </w:r>
      <w:r>
        <w:fldChar w:fldCharType="end"/>
      </w:r>
    </w:p>
    <w:p>
      <w:pPr>
        <w:pStyle w:val="13"/>
        <w:rPr>
          <w:rFonts w:asciiTheme="minorHAnsi" w:hAnsiTheme="minorHAnsi" w:eastAsiaTheme="minorEastAsia" w:cstheme="minorBidi"/>
          <w:b w:val="0"/>
          <w:sz w:val="21"/>
        </w:rPr>
      </w:pPr>
      <w:r>
        <w:fldChar w:fldCharType="begin"/>
      </w:r>
      <w:r>
        <w:instrText xml:space="preserve"> HYPERLINK \l "_Toc24378772" </w:instrText>
      </w:r>
      <w:r>
        <w:fldChar w:fldCharType="separate"/>
      </w:r>
      <w:r>
        <w:rPr>
          <w:rStyle w:val="19"/>
          <w:rFonts w:hint="eastAsia"/>
          <w:color w:val="auto"/>
        </w:rPr>
        <w:t>三、 评审程序</w:t>
      </w:r>
      <w:r>
        <w:tab/>
      </w:r>
      <w:r>
        <w:fldChar w:fldCharType="begin"/>
      </w:r>
      <w:r>
        <w:instrText xml:space="preserve"> PAGEREF _Toc24378772 \h </w:instrText>
      </w:r>
      <w:r>
        <w:fldChar w:fldCharType="separate"/>
      </w:r>
      <w:r>
        <w:t>7</w:t>
      </w:r>
      <w:r>
        <w:fldChar w:fldCharType="end"/>
      </w:r>
      <w:r>
        <w:fldChar w:fldCharType="end"/>
      </w:r>
    </w:p>
    <w:p>
      <w:pPr>
        <w:pStyle w:val="12"/>
        <w:tabs>
          <w:tab w:val="right" w:leader="dot" w:pos="8902"/>
        </w:tabs>
        <w:rPr>
          <w:rFonts w:asciiTheme="minorHAnsi" w:hAnsiTheme="minorHAnsi" w:eastAsiaTheme="minorEastAsia" w:cstheme="minorBidi"/>
          <w:b w:val="0"/>
          <w:sz w:val="21"/>
        </w:rPr>
      </w:pPr>
      <w:r>
        <w:fldChar w:fldCharType="begin"/>
      </w:r>
      <w:r>
        <w:instrText xml:space="preserve"> HYPERLINK \l "_Toc24378773" </w:instrText>
      </w:r>
      <w:r>
        <w:fldChar w:fldCharType="separate"/>
      </w:r>
      <w:r>
        <w:rPr>
          <w:rStyle w:val="19"/>
          <w:rFonts w:hint="eastAsia"/>
          <w:color w:val="auto"/>
        </w:rPr>
        <w:t>第三部分</w:t>
      </w:r>
      <w:r>
        <w:rPr>
          <w:rStyle w:val="19"/>
          <w:color w:val="auto"/>
        </w:rPr>
        <w:t xml:space="preserve"> </w:t>
      </w:r>
      <w:r>
        <w:rPr>
          <w:rStyle w:val="19"/>
          <w:rFonts w:hint="eastAsia"/>
          <w:color w:val="auto"/>
        </w:rPr>
        <w:t>竞投文件格式</w:t>
      </w:r>
      <w:r>
        <w:tab/>
      </w:r>
      <w:r>
        <w:fldChar w:fldCharType="begin"/>
      </w:r>
      <w:r>
        <w:instrText xml:space="preserve"> PAGEREF _Toc24378773 \h </w:instrText>
      </w:r>
      <w:r>
        <w:fldChar w:fldCharType="separate"/>
      </w:r>
      <w:r>
        <w:t>12</w:t>
      </w:r>
      <w:r>
        <w:fldChar w:fldCharType="end"/>
      </w:r>
      <w:r>
        <w:fldChar w:fldCharType="end"/>
      </w:r>
    </w:p>
    <w:p>
      <w:pPr>
        <w:pStyle w:val="12"/>
        <w:tabs>
          <w:tab w:val="right" w:leader="dot" w:pos="8902"/>
        </w:tabs>
        <w:rPr>
          <w:rFonts w:asciiTheme="minorHAnsi" w:hAnsiTheme="minorHAnsi" w:eastAsiaTheme="minorEastAsia" w:cstheme="minorBidi"/>
          <w:b w:val="0"/>
          <w:sz w:val="21"/>
        </w:rPr>
      </w:pPr>
      <w:r>
        <w:fldChar w:fldCharType="begin"/>
      </w:r>
      <w:r>
        <w:instrText xml:space="preserve"> HYPERLINK \l "_Toc24378774" </w:instrText>
      </w:r>
      <w:r>
        <w:fldChar w:fldCharType="separate"/>
      </w:r>
      <w:r>
        <w:rPr>
          <w:rStyle w:val="19"/>
          <w:rFonts w:hint="eastAsia" w:ascii="宋体" w:hAnsi="宋体" w:cs="宋体"/>
          <w:bCs/>
          <w:color w:val="auto"/>
        </w:rPr>
        <w:t>第四部分</w:t>
      </w:r>
      <w:r>
        <w:rPr>
          <w:rStyle w:val="19"/>
          <w:rFonts w:ascii="宋体" w:hAnsi="宋体" w:cs="宋体"/>
          <w:bCs/>
          <w:color w:val="auto"/>
        </w:rPr>
        <w:t xml:space="preserve"> </w:t>
      </w:r>
      <w:r>
        <w:rPr>
          <w:rStyle w:val="19"/>
          <w:rFonts w:hint="eastAsia" w:ascii="宋体" w:hAnsi="宋体" w:cs="宋体"/>
          <w:bCs/>
          <w:color w:val="auto"/>
        </w:rPr>
        <w:t>用户需求书</w:t>
      </w:r>
      <w:r>
        <w:tab/>
      </w:r>
      <w:r>
        <w:fldChar w:fldCharType="begin"/>
      </w:r>
      <w:r>
        <w:instrText xml:space="preserve"> PAGEREF _Toc24378774 \h </w:instrText>
      </w:r>
      <w:r>
        <w:fldChar w:fldCharType="separate"/>
      </w:r>
      <w:r>
        <w:t>20</w:t>
      </w:r>
      <w:r>
        <w:fldChar w:fldCharType="end"/>
      </w:r>
      <w:r>
        <w:fldChar w:fldCharType="end"/>
      </w:r>
    </w:p>
    <w:p>
      <w:pPr>
        <w:pStyle w:val="12"/>
        <w:tabs>
          <w:tab w:val="right" w:leader="dot" w:pos="8902"/>
        </w:tabs>
        <w:rPr>
          <w:rFonts w:asciiTheme="minorHAnsi" w:hAnsiTheme="minorHAnsi" w:eastAsiaTheme="minorEastAsia" w:cstheme="minorBidi"/>
          <w:b w:val="0"/>
          <w:sz w:val="21"/>
        </w:rPr>
      </w:pPr>
      <w:r>
        <w:fldChar w:fldCharType="begin"/>
      </w:r>
      <w:r>
        <w:instrText xml:space="preserve"> HYPERLINK \l "_Toc24378775" </w:instrText>
      </w:r>
      <w:r>
        <w:fldChar w:fldCharType="separate"/>
      </w:r>
      <w:r>
        <w:rPr>
          <w:rStyle w:val="19"/>
          <w:rFonts w:hint="eastAsia"/>
          <w:color w:val="auto"/>
        </w:rPr>
        <w:t>第五部分</w:t>
      </w:r>
      <w:r>
        <w:rPr>
          <w:rStyle w:val="19"/>
          <w:color w:val="auto"/>
        </w:rPr>
        <w:t xml:space="preserve"> </w:t>
      </w:r>
      <w:r>
        <w:rPr>
          <w:rStyle w:val="19"/>
          <w:rFonts w:hint="eastAsia"/>
          <w:color w:val="auto"/>
        </w:rPr>
        <w:t>合同书格式</w:t>
      </w:r>
      <w:r>
        <w:tab/>
      </w:r>
      <w:r>
        <w:fldChar w:fldCharType="begin"/>
      </w:r>
      <w:r>
        <w:instrText xml:space="preserve"> PAGEREF _Toc24378775 \h </w:instrText>
      </w:r>
      <w:r>
        <w:fldChar w:fldCharType="separate"/>
      </w:r>
      <w:r>
        <w:t>22</w:t>
      </w:r>
      <w:r>
        <w:fldChar w:fldCharType="end"/>
      </w:r>
      <w:r>
        <w:fldChar w:fldCharType="end"/>
      </w:r>
    </w:p>
    <w:p>
      <w:pPr>
        <w:spacing w:line="480" w:lineRule="auto"/>
        <w:rPr>
          <w:rFonts w:ascii="Times New Roman" w:hAnsi="Times New Roman"/>
        </w:rPr>
      </w:pPr>
      <w:r>
        <w:rPr>
          <w:rFonts w:ascii="Times New Roman" w:hAnsi="Times New Roman"/>
          <w:bCs/>
          <w:caps/>
          <w:sz w:val="30"/>
          <w:szCs w:val="30"/>
        </w:rPr>
        <w:fldChar w:fldCharType="end"/>
      </w:r>
    </w:p>
    <w:p>
      <w:pPr>
        <w:spacing w:line="360" w:lineRule="auto"/>
        <w:ind w:firstLine="560"/>
        <w:jc w:val="center"/>
        <w:rPr>
          <w:rFonts w:ascii="宋体" w:hAnsi="宋体"/>
          <w:sz w:val="28"/>
          <w:szCs w:val="28"/>
        </w:rPr>
      </w:pPr>
    </w:p>
    <w:p>
      <w:pPr>
        <w:spacing w:line="360" w:lineRule="auto"/>
        <w:ind w:firstLine="560"/>
        <w:jc w:val="center"/>
        <w:rPr>
          <w:rFonts w:ascii="宋体" w:hAnsi="宋体"/>
        </w:rPr>
      </w:pPr>
    </w:p>
    <w:p>
      <w:pPr>
        <w:spacing w:line="360" w:lineRule="auto"/>
        <w:ind w:firstLine="560"/>
        <w:rPr>
          <w:rFonts w:ascii="宋体" w:hAnsi="宋体"/>
        </w:rPr>
      </w:pPr>
    </w:p>
    <w:p>
      <w:pPr>
        <w:spacing w:line="360" w:lineRule="auto"/>
        <w:ind w:firstLine="560"/>
        <w:rPr>
          <w:rFonts w:ascii="宋体" w:hAnsi="宋体"/>
        </w:rPr>
      </w:pPr>
    </w:p>
    <w:p>
      <w:pPr>
        <w:spacing w:line="360" w:lineRule="auto"/>
        <w:ind w:firstLine="560"/>
        <w:rPr>
          <w:rFonts w:ascii="宋体" w:hAnsi="宋体"/>
        </w:rPr>
      </w:pPr>
    </w:p>
    <w:p>
      <w:pPr>
        <w:spacing w:line="360" w:lineRule="auto"/>
        <w:ind w:firstLine="560"/>
        <w:rPr>
          <w:rFonts w:ascii="宋体" w:hAnsi="宋体"/>
        </w:rPr>
      </w:pPr>
    </w:p>
    <w:p>
      <w:pPr>
        <w:spacing w:line="360" w:lineRule="auto"/>
        <w:ind w:firstLine="560"/>
        <w:rPr>
          <w:rFonts w:ascii="宋体" w:hAnsi="宋体"/>
        </w:rPr>
      </w:pPr>
    </w:p>
    <w:p>
      <w:pPr>
        <w:spacing w:line="360" w:lineRule="auto"/>
        <w:ind w:firstLine="560"/>
        <w:rPr>
          <w:rFonts w:ascii="宋体" w:hAnsi="宋体"/>
        </w:rPr>
      </w:pPr>
    </w:p>
    <w:p>
      <w:pPr>
        <w:widowControl/>
        <w:ind w:firstLine="560"/>
        <w:jc w:val="left"/>
        <w:rPr>
          <w:rFonts w:ascii="宋体" w:hAnsi="宋体"/>
        </w:rPr>
      </w:pPr>
      <w:r>
        <w:rPr>
          <w:rFonts w:ascii="宋体" w:hAnsi="宋体"/>
        </w:rPr>
        <w:br w:type="page"/>
      </w:r>
      <w:bookmarkStart w:id="0" w:name="_Toc130180922"/>
      <w:bookmarkStart w:id="1" w:name="_Toc130180841"/>
      <w:bookmarkStart w:id="2" w:name="_Toc130180736"/>
      <w:bookmarkStart w:id="3" w:name="_Toc427828521"/>
      <w:bookmarkStart w:id="4" w:name="_Toc238282328"/>
      <w:bookmarkStart w:id="5" w:name="_Toc334797728"/>
    </w:p>
    <w:p>
      <w:pPr>
        <w:pStyle w:val="2"/>
        <w:rPr>
          <w:rFonts w:ascii="宋体" w:hAnsi="宋体"/>
        </w:rPr>
      </w:pPr>
      <w:bookmarkStart w:id="6" w:name="_Toc24378764"/>
      <w:r>
        <w:rPr>
          <w:rFonts w:hint="eastAsia" w:ascii="宋体" w:hAnsi="宋体"/>
          <w:bCs w:val="0"/>
        </w:rPr>
        <w:t>第一</w:t>
      </w:r>
      <w:r>
        <w:rPr>
          <w:rFonts w:hint="eastAsia" w:ascii="宋体" w:hAnsi="宋体"/>
        </w:rPr>
        <w:t>部分 竞投人须知</w:t>
      </w:r>
      <w:bookmarkEnd w:id="0"/>
      <w:bookmarkEnd w:id="1"/>
      <w:bookmarkEnd w:id="2"/>
      <w:bookmarkEnd w:id="3"/>
      <w:bookmarkEnd w:id="4"/>
      <w:bookmarkEnd w:id="5"/>
      <w:bookmarkEnd w:id="6"/>
    </w:p>
    <w:p>
      <w:pPr>
        <w:pStyle w:val="27"/>
        <w:numPr>
          <w:ilvl w:val="0"/>
          <w:numId w:val="2"/>
        </w:numPr>
        <w:spacing w:line="360" w:lineRule="auto"/>
        <w:ind w:left="0" w:firstLine="482"/>
        <w:outlineLvl w:val="1"/>
        <w:rPr>
          <w:b/>
          <w:sz w:val="24"/>
          <w:szCs w:val="24"/>
        </w:rPr>
      </w:pPr>
      <w:bookmarkStart w:id="7" w:name="_Toc228899495"/>
      <w:bookmarkStart w:id="8" w:name="_Toc49082409"/>
      <w:bookmarkStart w:id="9" w:name="_Toc228644966"/>
      <w:bookmarkStart w:id="10" w:name="_Toc427828572"/>
      <w:bookmarkStart w:id="11" w:name="_Toc223939092"/>
      <w:bookmarkStart w:id="12" w:name="_Toc238282329"/>
      <w:bookmarkStart w:id="13" w:name="_Toc334797730"/>
      <w:bookmarkStart w:id="14" w:name="_Toc24378765"/>
      <w:bookmarkStart w:id="15" w:name="_Toc185747578"/>
      <w:bookmarkStart w:id="16" w:name="_Toc427828522"/>
      <w:bookmarkStart w:id="17" w:name="_Toc224435714"/>
      <w:bookmarkStart w:id="18" w:name="_Toc225565941"/>
      <w:bookmarkStart w:id="19" w:name="_Toc49135195"/>
      <w:bookmarkStart w:id="20" w:name="_Toc428434783"/>
      <w:r>
        <w:rPr>
          <w:rFonts w:hint="eastAsia"/>
          <w:b/>
          <w:sz w:val="24"/>
          <w:szCs w:val="24"/>
        </w:rPr>
        <w:t>总体说明</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numPr>
          <w:ilvl w:val="0"/>
          <w:numId w:val="3"/>
        </w:numPr>
        <w:tabs>
          <w:tab w:val="left" w:pos="1134"/>
        </w:tabs>
        <w:spacing w:line="360" w:lineRule="auto"/>
        <w:ind w:left="0" w:firstLine="482" w:firstLineChars="200"/>
        <w:outlineLvl w:val="3"/>
        <w:rPr>
          <w:rFonts w:ascii="宋体" w:hAnsi="宋体"/>
          <w:b/>
          <w:bCs/>
          <w:sz w:val="24"/>
        </w:rPr>
      </w:pPr>
      <w:r>
        <w:rPr>
          <w:rFonts w:hint="eastAsia" w:ascii="宋体" w:hAnsi="宋体"/>
          <w:b/>
          <w:bCs/>
          <w:sz w:val="24"/>
          <w:szCs w:val="24"/>
        </w:rPr>
        <w:t>竞选项目说明</w:t>
      </w:r>
    </w:p>
    <w:p>
      <w:pPr>
        <w:tabs>
          <w:tab w:val="left" w:pos="0"/>
        </w:tabs>
        <w:spacing w:line="360" w:lineRule="auto"/>
        <w:ind w:firstLine="470" w:firstLineChars="196"/>
        <w:outlineLvl w:val="3"/>
        <w:rPr>
          <w:rFonts w:ascii="宋体" w:hAnsi="宋体"/>
          <w:b/>
          <w:bCs/>
          <w:sz w:val="24"/>
        </w:rPr>
      </w:pPr>
      <w:bookmarkStart w:id="21" w:name="_Toc427828523"/>
      <w:bookmarkStart w:id="22" w:name="_Toc427828573"/>
      <w:r>
        <w:rPr>
          <w:rFonts w:hint="eastAsia" w:ascii="Times New Roman" w:hAnsi="Times New Roman"/>
          <w:sz w:val="24"/>
          <w:szCs w:val="24"/>
        </w:rPr>
        <w:t>具体详见</w:t>
      </w:r>
      <w:bookmarkEnd w:id="21"/>
      <w:bookmarkEnd w:id="22"/>
      <w:r>
        <w:rPr>
          <w:rFonts w:hint="eastAsia" w:ascii="Times New Roman" w:hAnsi="Times New Roman"/>
          <w:sz w:val="24"/>
          <w:szCs w:val="24"/>
        </w:rPr>
        <w:t>用户需求书。</w:t>
      </w:r>
    </w:p>
    <w:p>
      <w:pPr>
        <w:numPr>
          <w:ilvl w:val="0"/>
          <w:numId w:val="3"/>
        </w:numPr>
        <w:tabs>
          <w:tab w:val="left" w:pos="1134"/>
        </w:tabs>
        <w:spacing w:line="360" w:lineRule="auto"/>
        <w:ind w:left="0" w:firstLine="482" w:firstLineChars="200"/>
        <w:outlineLvl w:val="3"/>
        <w:rPr>
          <w:rFonts w:ascii="宋体" w:hAnsi="宋体"/>
          <w:b/>
          <w:bCs/>
          <w:sz w:val="24"/>
          <w:szCs w:val="24"/>
        </w:rPr>
      </w:pPr>
      <w:r>
        <w:rPr>
          <w:rFonts w:hint="eastAsia" w:ascii="宋体" w:hAnsi="宋体"/>
          <w:b/>
          <w:bCs/>
          <w:sz w:val="24"/>
          <w:szCs w:val="24"/>
        </w:rPr>
        <w:t>关于竞投报价</w:t>
      </w:r>
    </w:p>
    <w:p>
      <w:pPr>
        <w:pStyle w:val="27"/>
        <w:numPr>
          <w:ilvl w:val="0"/>
          <w:numId w:val="4"/>
        </w:numPr>
        <w:spacing w:line="360" w:lineRule="auto"/>
        <w:ind w:left="0" w:firstLine="480"/>
        <w:rPr>
          <w:rFonts w:ascii="宋体" w:hAnsi="宋体"/>
          <w:sz w:val="24"/>
          <w:szCs w:val="24"/>
        </w:rPr>
      </w:pPr>
      <w:bookmarkStart w:id="23" w:name="_Toc428434784"/>
      <w:bookmarkStart w:id="24" w:name="_Toc427828574"/>
      <w:bookmarkStart w:id="25" w:name="_Toc427828524"/>
      <w:bookmarkStart w:id="26" w:name="_Toc224435715"/>
      <w:bookmarkStart w:id="27" w:name="_Toc228644967"/>
      <w:bookmarkStart w:id="28" w:name="_Toc334797731"/>
      <w:bookmarkStart w:id="29" w:name="_Toc228899496"/>
      <w:bookmarkStart w:id="30" w:name="_Toc238282330"/>
      <w:bookmarkStart w:id="31" w:name="_Toc225565942"/>
      <w:r>
        <w:rPr>
          <w:rFonts w:hint="eastAsia" w:ascii="宋体" w:hAnsi="宋体"/>
          <w:sz w:val="24"/>
          <w:szCs w:val="24"/>
        </w:rPr>
        <w:t>竞投人应根据竞选文件中用户需求书的要求，对照竞投报价表格式规定的填报内容进行报价。</w:t>
      </w:r>
      <w:bookmarkEnd w:id="23"/>
      <w:bookmarkEnd w:id="24"/>
      <w:bookmarkEnd w:id="25"/>
      <w:bookmarkEnd w:id="26"/>
      <w:bookmarkEnd w:id="27"/>
      <w:bookmarkEnd w:id="28"/>
      <w:bookmarkEnd w:id="29"/>
      <w:bookmarkEnd w:id="30"/>
      <w:bookmarkEnd w:id="31"/>
    </w:p>
    <w:p>
      <w:pPr>
        <w:pStyle w:val="27"/>
        <w:numPr>
          <w:ilvl w:val="0"/>
          <w:numId w:val="4"/>
        </w:numPr>
        <w:spacing w:line="360" w:lineRule="auto"/>
        <w:ind w:left="0" w:firstLine="480"/>
        <w:rPr>
          <w:rFonts w:ascii="宋体" w:hAnsi="宋体"/>
          <w:sz w:val="24"/>
          <w:szCs w:val="24"/>
        </w:rPr>
      </w:pPr>
      <w:bookmarkStart w:id="32" w:name="_Toc427828575"/>
      <w:bookmarkStart w:id="33" w:name="_Toc427828525"/>
      <w:bookmarkStart w:id="34" w:name="_Toc428434785"/>
      <w:bookmarkStart w:id="35" w:name="_Toc334797732"/>
      <w:r>
        <w:rPr>
          <w:rFonts w:hint="eastAsia" w:ascii="宋体" w:hAnsi="宋体"/>
          <w:sz w:val="24"/>
          <w:szCs w:val="24"/>
        </w:rPr>
        <w:t>除非竞选文件另有规定，竞投价不是唯一的或不是固定不变的竞投文件将被作为非响应性竞投而予以拒绝。竞投人所报的竞投价在投标有效期及合同执行期间是固定不变的，竞投人不得以任何理由予以变更。</w:t>
      </w:r>
      <w:bookmarkEnd w:id="32"/>
      <w:bookmarkEnd w:id="33"/>
      <w:bookmarkEnd w:id="34"/>
      <w:bookmarkEnd w:id="35"/>
    </w:p>
    <w:p>
      <w:pPr>
        <w:pStyle w:val="27"/>
        <w:numPr>
          <w:ilvl w:val="0"/>
          <w:numId w:val="4"/>
        </w:numPr>
        <w:spacing w:line="360" w:lineRule="auto"/>
        <w:ind w:left="0" w:firstLine="480"/>
        <w:rPr>
          <w:rFonts w:ascii="宋体" w:hAnsi="宋体"/>
          <w:sz w:val="24"/>
          <w:szCs w:val="24"/>
        </w:rPr>
      </w:pPr>
      <w:r>
        <w:rPr>
          <w:rFonts w:hint="eastAsia" w:ascii="宋体" w:hAnsi="宋体" w:cs="仿宋"/>
          <w:sz w:val="24"/>
          <w:szCs w:val="24"/>
        </w:rPr>
        <w:t>中选人</w:t>
      </w:r>
      <w:r>
        <w:rPr>
          <w:rFonts w:hint="eastAsia" w:ascii="宋体" w:hAnsi="宋体"/>
          <w:sz w:val="24"/>
          <w:szCs w:val="24"/>
        </w:rPr>
        <w:t>须提供增值税专用发票才能办理请款事宜。</w:t>
      </w:r>
    </w:p>
    <w:p>
      <w:pPr>
        <w:numPr>
          <w:ilvl w:val="0"/>
          <w:numId w:val="3"/>
        </w:numPr>
        <w:tabs>
          <w:tab w:val="left" w:pos="1134"/>
        </w:tabs>
        <w:spacing w:line="360" w:lineRule="auto"/>
        <w:ind w:left="0" w:firstLine="482" w:firstLineChars="200"/>
        <w:outlineLvl w:val="3"/>
        <w:rPr>
          <w:rFonts w:ascii="宋体" w:hAnsi="宋体"/>
          <w:b/>
          <w:bCs/>
          <w:sz w:val="24"/>
          <w:szCs w:val="24"/>
        </w:rPr>
      </w:pPr>
      <w:r>
        <w:rPr>
          <w:rFonts w:hint="eastAsia" w:ascii="宋体" w:hAnsi="宋体"/>
          <w:b/>
          <w:bCs/>
          <w:sz w:val="24"/>
          <w:szCs w:val="24"/>
        </w:rPr>
        <w:t>适用范围</w:t>
      </w:r>
    </w:p>
    <w:p>
      <w:pPr>
        <w:tabs>
          <w:tab w:val="left" w:pos="0"/>
        </w:tabs>
        <w:spacing w:line="360" w:lineRule="auto"/>
        <w:ind w:firstLine="470" w:firstLineChars="196"/>
        <w:outlineLvl w:val="3"/>
        <w:rPr>
          <w:rFonts w:ascii="宋体" w:hAnsi="宋体"/>
          <w:sz w:val="24"/>
        </w:rPr>
      </w:pPr>
      <w:r>
        <w:rPr>
          <w:rFonts w:hint="eastAsia" w:ascii="宋体" w:hAnsi="宋体"/>
          <w:sz w:val="24"/>
          <w:szCs w:val="24"/>
        </w:rPr>
        <w:t>本竞选文件仅适用于本竞选文件约定的竞选内容。</w:t>
      </w:r>
    </w:p>
    <w:p>
      <w:pPr>
        <w:numPr>
          <w:ilvl w:val="0"/>
          <w:numId w:val="3"/>
        </w:numPr>
        <w:tabs>
          <w:tab w:val="left" w:pos="1134"/>
        </w:tabs>
        <w:spacing w:line="360" w:lineRule="auto"/>
        <w:ind w:left="0" w:firstLine="482" w:firstLineChars="200"/>
        <w:outlineLvl w:val="3"/>
        <w:rPr>
          <w:rFonts w:ascii="宋体" w:hAnsi="宋体"/>
          <w:b/>
          <w:bCs/>
          <w:sz w:val="24"/>
          <w:szCs w:val="24"/>
        </w:rPr>
      </w:pPr>
      <w:r>
        <w:rPr>
          <w:rFonts w:hint="eastAsia" w:ascii="宋体" w:hAnsi="宋体"/>
          <w:b/>
          <w:bCs/>
          <w:sz w:val="24"/>
          <w:szCs w:val="24"/>
        </w:rPr>
        <w:t>评审方式</w:t>
      </w:r>
    </w:p>
    <w:p>
      <w:pPr>
        <w:tabs>
          <w:tab w:val="left" w:pos="0"/>
        </w:tabs>
        <w:spacing w:line="360" w:lineRule="auto"/>
        <w:ind w:firstLine="470" w:firstLineChars="196"/>
        <w:outlineLvl w:val="3"/>
        <w:rPr>
          <w:rFonts w:ascii="宋体" w:hAnsi="宋体"/>
          <w:sz w:val="24"/>
        </w:rPr>
      </w:pPr>
      <w:r>
        <w:rPr>
          <w:rFonts w:hint="eastAsia" w:ascii="宋体" w:hAnsi="宋体"/>
          <w:sz w:val="24"/>
          <w:szCs w:val="24"/>
        </w:rPr>
        <w:t>综合评分法。</w:t>
      </w:r>
    </w:p>
    <w:p>
      <w:pPr>
        <w:numPr>
          <w:ilvl w:val="0"/>
          <w:numId w:val="3"/>
        </w:numPr>
        <w:tabs>
          <w:tab w:val="left" w:pos="1134"/>
        </w:tabs>
        <w:spacing w:line="360" w:lineRule="auto"/>
        <w:ind w:left="0" w:firstLine="482" w:firstLineChars="200"/>
        <w:outlineLvl w:val="3"/>
        <w:rPr>
          <w:rFonts w:ascii="宋体" w:hAnsi="宋体"/>
          <w:b/>
          <w:bCs/>
          <w:sz w:val="24"/>
          <w:szCs w:val="24"/>
        </w:rPr>
      </w:pPr>
      <w:r>
        <w:rPr>
          <w:rFonts w:hint="eastAsia" w:ascii="宋体" w:hAnsi="宋体"/>
          <w:b/>
          <w:bCs/>
          <w:sz w:val="24"/>
          <w:szCs w:val="24"/>
        </w:rPr>
        <w:t>合格的竞投人</w:t>
      </w:r>
    </w:p>
    <w:p>
      <w:pPr>
        <w:tabs>
          <w:tab w:val="left" w:pos="0"/>
        </w:tabs>
        <w:spacing w:line="360" w:lineRule="auto"/>
        <w:ind w:firstLine="470" w:firstLineChars="196"/>
        <w:outlineLvl w:val="3"/>
        <w:rPr>
          <w:rFonts w:ascii="Times New Roman" w:hAnsi="Times New Roman"/>
          <w:sz w:val="24"/>
        </w:rPr>
      </w:pPr>
      <w:bookmarkStart w:id="36" w:name="_Toc428434786"/>
      <w:r>
        <w:rPr>
          <w:rFonts w:hint="eastAsia" w:ascii="宋体" w:hAnsi="宋体"/>
          <w:sz w:val="24"/>
          <w:szCs w:val="24"/>
        </w:rPr>
        <w:t>具有</w:t>
      </w:r>
      <w:r>
        <w:rPr>
          <w:rFonts w:hint="eastAsia" w:ascii="Times New Roman" w:hAnsi="Times New Roman"/>
          <w:sz w:val="24"/>
          <w:szCs w:val="24"/>
        </w:rPr>
        <w:t>符合竞投公告中合格竞投人资格要求。</w:t>
      </w:r>
      <w:bookmarkEnd w:id="36"/>
    </w:p>
    <w:p>
      <w:pPr>
        <w:numPr>
          <w:ilvl w:val="0"/>
          <w:numId w:val="3"/>
        </w:numPr>
        <w:tabs>
          <w:tab w:val="left" w:pos="1134"/>
        </w:tabs>
        <w:spacing w:line="360" w:lineRule="auto"/>
        <w:ind w:left="0" w:firstLine="482" w:firstLineChars="200"/>
        <w:outlineLvl w:val="3"/>
        <w:rPr>
          <w:rFonts w:ascii="宋体" w:hAnsi="宋体"/>
          <w:b/>
          <w:bCs/>
          <w:sz w:val="24"/>
          <w:szCs w:val="24"/>
        </w:rPr>
      </w:pPr>
      <w:r>
        <w:rPr>
          <w:rFonts w:hint="eastAsia" w:ascii="宋体" w:hAnsi="宋体"/>
          <w:b/>
          <w:bCs/>
          <w:sz w:val="24"/>
          <w:szCs w:val="24"/>
        </w:rPr>
        <w:t>关于竞投费用</w:t>
      </w:r>
    </w:p>
    <w:p>
      <w:pPr>
        <w:tabs>
          <w:tab w:val="left" w:pos="0"/>
        </w:tabs>
        <w:spacing w:line="360" w:lineRule="auto"/>
        <w:ind w:firstLine="470" w:firstLineChars="196"/>
        <w:outlineLvl w:val="3"/>
        <w:rPr>
          <w:rFonts w:ascii="宋体" w:hAnsi="宋体"/>
          <w:b/>
          <w:bCs/>
          <w:sz w:val="24"/>
        </w:rPr>
      </w:pPr>
      <w:r>
        <w:rPr>
          <w:rFonts w:hint="eastAsia" w:ascii="宋体" w:hAnsi="宋体"/>
          <w:sz w:val="24"/>
          <w:szCs w:val="24"/>
        </w:rPr>
        <w:t>竞投人应自行承担所有与其参加竞投有关的全部费用。</w:t>
      </w:r>
    </w:p>
    <w:p>
      <w:pPr>
        <w:numPr>
          <w:ilvl w:val="0"/>
          <w:numId w:val="3"/>
        </w:numPr>
        <w:tabs>
          <w:tab w:val="left" w:pos="1134"/>
        </w:tabs>
        <w:spacing w:line="360" w:lineRule="auto"/>
        <w:ind w:left="0" w:firstLine="482" w:firstLineChars="200"/>
        <w:outlineLvl w:val="3"/>
        <w:rPr>
          <w:rFonts w:ascii="宋体" w:hAnsi="宋体"/>
          <w:b/>
          <w:bCs/>
          <w:sz w:val="24"/>
          <w:szCs w:val="24"/>
        </w:rPr>
      </w:pPr>
      <w:r>
        <w:rPr>
          <w:rFonts w:hint="eastAsia" w:ascii="宋体" w:hAnsi="宋体"/>
          <w:b/>
          <w:bCs/>
          <w:sz w:val="24"/>
          <w:szCs w:val="24"/>
        </w:rPr>
        <w:t>合格的货物和服务</w:t>
      </w:r>
    </w:p>
    <w:p>
      <w:pPr>
        <w:tabs>
          <w:tab w:val="left" w:pos="0"/>
        </w:tabs>
        <w:spacing w:line="360" w:lineRule="auto"/>
        <w:ind w:firstLine="470" w:firstLineChars="196"/>
        <w:outlineLvl w:val="3"/>
        <w:rPr>
          <w:rFonts w:ascii="宋体" w:hAnsi="宋体"/>
          <w:sz w:val="24"/>
        </w:rPr>
      </w:pPr>
      <w:r>
        <w:rPr>
          <w:rFonts w:hint="eastAsia" w:ascii="宋体" w:hAnsi="宋体"/>
          <w:sz w:val="24"/>
          <w:szCs w:val="24"/>
        </w:rPr>
        <w:t>竞投人提供的货物和服务应符合招选人需求的约定。</w:t>
      </w:r>
    </w:p>
    <w:p>
      <w:pPr>
        <w:numPr>
          <w:ilvl w:val="0"/>
          <w:numId w:val="3"/>
        </w:numPr>
        <w:tabs>
          <w:tab w:val="left" w:pos="1134"/>
        </w:tabs>
        <w:spacing w:line="360" w:lineRule="auto"/>
        <w:ind w:left="0" w:firstLine="482" w:firstLineChars="200"/>
        <w:outlineLvl w:val="3"/>
        <w:rPr>
          <w:rFonts w:ascii="宋体" w:hAnsi="宋体"/>
          <w:b/>
          <w:bCs/>
          <w:sz w:val="24"/>
          <w:szCs w:val="24"/>
        </w:rPr>
      </w:pPr>
      <w:r>
        <w:rPr>
          <w:rFonts w:hint="eastAsia" w:ascii="宋体" w:hAnsi="宋体"/>
          <w:b/>
          <w:bCs/>
          <w:sz w:val="24"/>
          <w:szCs w:val="24"/>
        </w:rPr>
        <w:t>禁止事项</w:t>
      </w:r>
    </w:p>
    <w:p>
      <w:pPr>
        <w:pStyle w:val="27"/>
        <w:numPr>
          <w:ilvl w:val="0"/>
          <w:numId w:val="5"/>
        </w:numPr>
        <w:spacing w:line="360" w:lineRule="auto"/>
        <w:ind w:left="0" w:firstLine="480"/>
        <w:rPr>
          <w:rFonts w:ascii="宋体" w:hAnsi="宋体"/>
          <w:sz w:val="24"/>
          <w:szCs w:val="24"/>
        </w:rPr>
      </w:pPr>
      <w:bookmarkStart w:id="37" w:name="_Toc428434788"/>
      <w:r>
        <w:rPr>
          <w:rFonts w:hint="eastAsia" w:ascii="宋体" w:hAnsi="宋体"/>
          <w:sz w:val="24"/>
          <w:szCs w:val="24"/>
        </w:rPr>
        <w:t>招选人、竞投人不得相互串通竞投损害国家利益，社会公共利益和其他当事人的合法权益；不得以任何手段排斥其他竞投人参与竞争。</w:t>
      </w:r>
      <w:bookmarkEnd w:id="37"/>
    </w:p>
    <w:p>
      <w:pPr>
        <w:pStyle w:val="27"/>
        <w:numPr>
          <w:ilvl w:val="0"/>
          <w:numId w:val="5"/>
        </w:numPr>
        <w:spacing w:line="360" w:lineRule="auto"/>
        <w:ind w:left="0" w:firstLine="480"/>
        <w:rPr>
          <w:rFonts w:ascii="宋体" w:hAnsi="宋体"/>
          <w:sz w:val="24"/>
          <w:szCs w:val="24"/>
        </w:rPr>
      </w:pPr>
      <w:bookmarkStart w:id="38" w:name="_Toc428434789"/>
      <w:r>
        <w:rPr>
          <w:rFonts w:hint="eastAsia" w:ascii="宋体" w:hAnsi="宋体"/>
          <w:sz w:val="24"/>
          <w:szCs w:val="24"/>
        </w:rPr>
        <w:t>竞投人不得向招选人或招选人组成的评审人员行贿或者采取其他不正当手段谋取中选。</w:t>
      </w:r>
      <w:bookmarkEnd w:id="38"/>
    </w:p>
    <w:p>
      <w:pPr>
        <w:numPr>
          <w:ilvl w:val="0"/>
          <w:numId w:val="3"/>
        </w:numPr>
        <w:tabs>
          <w:tab w:val="left" w:pos="1134"/>
        </w:tabs>
        <w:spacing w:line="360" w:lineRule="auto"/>
        <w:ind w:left="0" w:firstLine="482" w:firstLineChars="200"/>
        <w:outlineLvl w:val="3"/>
        <w:rPr>
          <w:rFonts w:ascii="宋体" w:hAnsi="宋体"/>
          <w:b/>
          <w:bCs/>
          <w:sz w:val="24"/>
          <w:szCs w:val="24"/>
        </w:rPr>
      </w:pPr>
      <w:r>
        <w:rPr>
          <w:rFonts w:hint="eastAsia" w:ascii="宋体" w:hAnsi="宋体"/>
          <w:b/>
          <w:bCs/>
          <w:sz w:val="24"/>
          <w:szCs w:val="24"/>
        </w:rPr>
        <w:t>知识产权</w:t>
      </w:r>
    </w:p>
    <w:p>
      <w:pPr>
        <w:tabs>
          <w:tab w:val="left" w:pos="0"/>
        </w:tabs>
        <w:spacing w:line="360" w:lineRule="auto"/>
        <w:ind w:firstLine="480" w:firstLineChars="200"/>
        <w:outlineLvl w:val="3"/>
        <w:rPr>
          <w:rFonts w:ascii="宋体" w:hAnsi="宋体"/>
          <w:sz w:val="24"/>
        </w:rPr>
      </w:pPr>
      <w:r>
        <w:rPr>
          <w:rFonts w:hint="eastAsia" w:ascii="宋体" w:hAnsi="宋体"/>
          <w:sz w:val="24"/>
          <w:szCs w:val="24"/>
        </w:rPr>
        <w:t>竞投人必须保证，招选人在中华人民共和国境内使用竞投服务时（含竞投人提供的设计、策划、服务及提供服务所需的设备、货物、产品、资料、技术或其任何一部分），享有不受限制的使用权，不会产生因第三方提出侵犯其专利权、商标权或其它知识产权而引起的法律纠纷。如竞投人不拥有相应的知识产权，则应由竞投人负责获得并提供给招选人使用，其竞投报价中必须包括合法获取该知识产权的一切相关费用，如竞投人没有单独列出的，视为已包含在相应报价中。一旦使用竞投人提供的服务（含竞投人提供服务所需的设备、货物、产品、资料、技术或其任何一部分），招选人不再承担第三方提出侵犯其专利权、商标权或其它知识产权而引起的法律纠纷。</w:t>
      </w:r>
    </w:p>
    <w:p>
      <w:pPr>
        <w:numPr>
          <w:ilvl w:val="0"/>
          <w:numId w:val="3"/>
        </w:numPr>
        <w:tabs>
          <w:tab w:val="left" w:pos="1134"/>
        </w:tabs>
        <w:spacing w:line="360" w:lineRule="auto"/>
        <w:ind w:left="0" w:firstLine="482" w:firstLineChars="200"/>
        <w:outlineLvl w:val="3"/>
        <w:rPr>
          <w:rFonts w:ascii="宋体" w:hAnsi="宋体"/>
          <w:b/>
          <w:bCs/>
          <w:sz w:val="24"/>
          <w:szCs w:val="24"/>
        </w:rPr>
      </w:pPr>
      <w:r>
        <w:rPr>
          <w:rFonts w:hint="eastAsia" w:ascii="宋体" w:hAnsi="宋体"/>
          <w:b/>
          <w:bCs/>
          <w:sz w:val="24"/>
          <w:szCs w:val="24"/>
        </w:rPr>
        <w:t>定义</w:t>
      </w:r>
    </w:p>
    <w:p>
      <w:pPr>
        <w:pStyle w:val="27"/>
        <w:numPr>
          <w:ilvl w:val="0"/>
          <w:numId w:val="6"/>
        </w:numPr>
        <w:tabs>
          <w:tab w:val="left" w:pos="993"/>
        </w:tabs>
        <w:spacing w:line="360" w:lineRule="auto"/>
        <w:ind w:left="0" w:firstLine="480"/>
        <w:jc w:val="left"/>
        <w:rPr>
          <w:rFonts w:ascii="宋体" w:hAnsi="宋体"/>
          <w:bCs/>
          <w:sz w:val="24"/>
        </w:rPr>
      </w:pPr>
      <w:r>
        <w:rPr>
          <w:rFonts w:hint="eastAsia" w:ascii="宋体" w:hAnsi="宋体"/>
          <w:bCs/>
          <w:sz w:val="24"/>
        </w:rPr>
        <w:t>“招选人”系指广州市城投资产经营管理有限公司珠江新城分公司。</w:t>
      </w:r>
    </w:p>
    <w:p>
      <w:pPr>
        <w:pStyle w:val="27"/>
        <w:numPr>
          <w:ilvl w:val="0"/>
          <w:numId w:val="6"/>
        </w:numPr>
        <w:tabs>
          <w:tab w:val="left" w:pos="993"/>
        </w:tabs>
        <w:spacing w:line="360" w:lineRule="auto"/>
        <w:ind w:left="0" w:firstLine="480"/>
        <w:jc w:val="left"/>
        <w:rPr>
          <w:rFonts w:ascii="宋体" w:hAnsi="宋体"/>
          <w:bCs/>
          <w:sz w:val="24"/>
        </w:rPr>
      </w:pPr>
      <w:r>
        <w:rPr>
          <w:rFonts w:hint="eastAsia" w:ascii="宋体" w:hAnsi="宋体"/>
          <w:bCs/>
          <w:sz w:val="24"/>
        </w:rPr>
        <w:t>“竞投人”系指向招选人提交竞投文件的法人或其他组织。</w:t>
      </w:r>
    </w:p>
    <w:p>
      <w:pPr>
        <w:pStyle w:val="27"/>
        <w:numPr>
          <w:ilvl w:val="0"/>
          <w:numId w:val="6"/>
        </w:numPr>
        <w:tabs>
          <w:tab w:val="left" w:pos="993"/>
        </w:tabs>
        <w:spacing w:line="360" w:lineRule="auto"/>
        <w:ind w:left="0" w:firstLine="480"/>
        <w:jc w:val="left"/>
        <w:rPr>
          <w:rFonts w:ascii="宋体" w:hAnsi="宋体"/>
          <w:bCs/>
          <w:sz w:val="24"/>
        </w:rPr>
      </w:pPr>
      <w:r>
        <w:rPr>
          <w:rFonts w:hint="eastAsia" w:ascii="宋体" w:hAnsi="宋体"/>
          <w:bCs/>
          <w:sz w:val="24"/>
        </w:rPr>
        <w:t>“日期”指公历日,“时间”指北京时间。</w:t>
      </w:r>
    </w:p>
    <w:p>
      <w:pPr>
        <w:pStyle w:val="27"/>
        <w:numPr>
          <w:ilvl w:val="0"/>
          <w:numId w:val="6"/>
        </w:numPr>
        <w:tabs>
          <w:tab w:val="left" w:pos="993"/>
        </w:tabs>
        <w:spacing w:line="360" w:lineRule="auto"/>
        <w:ind w:left="0" w:firstLine="480"/>
        <w:jc w:val="left"/>
        <w:rPr>
          <w:rFonts w:ascii="宋体" w:hAnsi="宋体"/>
          <w:bCs/>
          <w:sz w:val="24"/>
        </w:rPr>
      </w:pPr>
      <w:r>
        <w:rPr>
          <w:rFonts w:hint="eastAsia" w:ascii="宋体" w:hAnsi="宋体"/>
          <w:bCs/>
          <w:sz w:val="24"/>
        </w:rPr>
        <w:t>“书面形式”系指纸质文件形式，不包含电子邮件、手机短信等非纸质形式。</w:t>
      </w:r>
    </w:p>
    <w:p>
      <w:pPr>
        <w:pStyle w:val="27"/>
        <w:numPr>
          <w:ilvl w:val="0"/>
          <w:numId w:val="6"/>
        </w:numPr>
        <w:tabs>
          <w:tab w:val="left" w:pos="993"/>
        </w:tabs>
        <w:spacing w:line="360" w:lineRule="auto"/>
        <w:ind w:left="0" w:firstLine="480"/>
        <w:jc w:val="left"/>
        <w:rPr>
          <w:rFonts w:ascii="宋体" w:hAnsi="宋体"/>
          <w:bCs/>
          <w:sz w:val="24"/>
        </w:rPr>
      </w:pPr>
      <w:r>
        <w:rPr>
          <w:rFonts w:hint="eastAsia" w:ascii="宋体" w:hAnsi="宋体"/>
          <w:bCs/>
          <w:sz w:val="24"/>
        </w:rPr>
        <w:t>竞选文件中的标题或题名仅起引导作用，而不应该作为对竞选文件内容的理解或解释。</w:t>
      </w:r>
    </w:p>
    <w:p>
      <w:pPr>
        <w:numPr>
          <w:ilvl w:val="0"/>
          <w:numId w:val="3"/>
        </w:numPr>
        <w:tabs>
          <w:tab w:val="left" w:pos="1134"/>
        </w:tabs>
        <w:spacing w:line="360" w:lineRule="auto"/>
        <w:ind w:left="0" w:firstLine="482" w:firstLineChars="200"/>
        <w:outlineLvl w:val="3"/>
        <w:rPr>
          <w:rFonts w:ascii="宋体" w:hAnsi="宋体"/>
          <w:b/>
          <w:bCs/>
          <w:sz w:val="24"/>
          <w:szCs w:val="24"/>
        </w:rPr>
      </w:pPr>
      <w:r>
        <w:rPr>
          <w:rFonts w:hint="eastAsia" w:ascii="宋体" w:hAnsi="宋体"/>
          <w:b/>
          <w:bCs/>
          <w:sz w:val="24"/>
          <w:szCs w:val="24"/>
        </w:rPr>
        <w:t>竞选文件的解释权</w:t>
      </w:r>
    </w:p>
    <w:p>
      <w:pPr>
        <w:tabs>
          <w:tab w:val="left" w:pos="0"/>
        </w:tabs>
        <w:spacing w:line="360" w:lineRule="auto"/>
        <w:ind w:firstLine="470" w:firstLineChars="196"/>
        <w:outlineLvl w:val="3"/>
        <w:rPr>
          <w:rFonts w:ascii="宋体" w:hAnsi="宋体"/>
          <w:bCs/>
          <w:sz w:val="24"/>
        </w:rPr>
      </w:pPr>
      <w:r>
        <w:rPr>
          <w:rFonts w:hint="eastAsia" w:ascii="宋体" w:hAnsi="宋体"/>
          <w:bCs/>
          <w:sz w:val="24"/>
          <w:szCs w:val="24"/>
        </w:rPr>
        <w:t>本竞选文件的解释权归招选人所有。</w:t>
      </w:r>
    </w:p>
    <w:p>
      <w:pPr>
        <w:pStyle w:val="27"/>
        <w:numPr>
          <w:ilvl w:val="0"/>
          <w:numId w:val="7"/>
        </w:numPr>
        <w:spacing w:line="360" w:lineRule="auto"/>
        <w:ind w:firstLineChars="0"/>
        <w:outlineLvl w:val="1"/>
        <w:rPr>
          <w:b/>
          <w:sz w:val="24"/>
          <w:szCs w:val="24"/>
        </w:rPr>
      </w:pPr>
      <w:bookmarkStart w:id="39" w:name="_Toc428434790"/>
      <w:bookmarkStart w:id="40" w:name="_Toc334797733"/>
      <w:bookmarkStart w:id="41" w:name="_Toc427828576"/>
      <w:bookmarkStart w:id="42" w:name="_Toc427828526"/>
      <w:bookmarkStart w:id="43" w:name="_Toc24378766"/>
      <w:r>
        <w:rPr>
          <w:rFonts w:hint="eastAsia"/>
          <w:b/>
          <w:sz w:val="24"/>
          <w:szCs w:val="24"/>
        </w:rPr>
        <w:t>竞选文件</w:t>
      </w:r>
      <w:bookmarkEnd w:id="39"/>
      <w:bookmarkEnd w:id="40"/>
      <w:bookmarkEnd w:id="41"/>
      <w:bookmarkEnd w:id="42"/>
      <w:bookmarkEnd w:id="43"/>
    </w:p>
    <w:p>
      <w:pPr>
        <w:pStyle w:val="27"/>
        <w:numPr>
          <w:ilvl w:val="0"/>
          <w:numId w:val="8"/>
        </w:numPr>
        <w:tabs>
          <w:tab w:val="left" w:pos="1134"/>
        </w:tabs>
        <w:spacing w:line="360" w:lineRule="auto"/>
        <w:ind w:left="0" w:firstLine="482"/>
        <w:outlineLvl w:val="3"/>
        <w:rPr>
          <w:rFonts w:ascii="宋体" w:hAnsi="宋体"/>
          <w:b/>
          <w:bCs/>
          <w:sz w:val="24"/>
          <w:szCs w:val="24"/>
        </w:rPr>
      </w:pPr>
      <w:r>
        <w:rPr>
          <w:rFonts w:hint="eastAsia" w:ascii="宋体" w:hAnsi="宋体"/>
          <w:b/>
          <w:bCs/>
          <w:sz w:val="24"/>
          <w:szCs w:val="24"/>
        </w:rPr>
        <w:t>竞选文件的组成</w:t>
      </w:r>
    </w:p>
    <w:p>
      <w:pPr>
        <w:pStyle w:val="27"/>
        <w:numPr>
          <w:ilvl w:val="0"/>
          <w:numId w:val="9"/>
        </w:numPr>
        <w:tabs>
          <w:tab w:val="left" w:pos="993"/>
        </w:tabs>
        <w:spacing w:line="360" w:lineRule="auto"/>
        <w:ind w:left="0" w:firstLine="480"/>
        <w:rPr>
          <w:rFonts w:ascii="宋体" w:hAnsi="宋体"/>
          <w:sz w:val="24"/>
        </w:rPr>
      </w:pPr>
      <w:r>
        <w:rPr>
          <w:rFonts w:hint="eastAsia" w:ascii="宋体" w:hAnsi="宋体"/>
          <w:sz w:val="24"/>
        </w:rPr>
        <w:t>竞投人须知。</w:t>
      </w:r>
    </w:p>
    <w:p>
      <w:pPr>
        <w:pStyle w:val="27"/>
        <w:numPr>
          <w:ilvl w:val="0"/>
          <w:numId w:val="9"/>
        </w:numPr>
        <w:tabs>
          <w:tab w:val="left" w:pos="993"/>
        </w:tabs>
        <w:spacing w:line="360" w:lineRule="auto"/>
        <w:ind w:left="0" w:firstLine="480"/>
        <w:rPr>
          <w:rFonts w:ascii="宋体" w:hAnsi="宋体"/>
          <w:sz w:val="24"/>
        </w:rPr>
      </w:pPr>
      <w:r>
        <w:rPr>
          <w:rFonts w:hint="eastAsia" w:ascii="宋体" w:hAnsi="宋体"/>
          <w:sz w:val="24"/>
        </w:rPr>
        <w:t>评审、选定。</w:t>
      </w:r>
    </w:p>
    <w:p>
      <w:pPr>
        <w:pStyle w:val="27"/>
        <w:numPr>
          <w:ilvl w:val="0"/>
          <w:numId w:val="9"/>
        </w:numPr>
        <w:tabs>
          <w:tab w:val="left" w:pos="993"/>
        </w:tabs>
        <w:spacing w:line="360" w:lineRule="auto"/>
        <w:ind w:left="0" w:firstLine="480"/>
        <w:rPr>
          <w:rFonts w:ascii="宋体" w:hAnsi="宋体"/>
          <w:sz w:val="24"/>
        </w:rPr>
      </w:pPr>
      <w:r>
        <w:rPr>
          <w:rFonts w:hint="eastAsia" w:ascii="宋体" w:hAnsi="宋体"/>
          <w:sz w:val="24"/>
        </w:rPr>
        <w:t>竞投文件格式。</w:t>
      </w:r>
    </w:p>
    <w:p>
      <w:pPr>
        <w:pStyle w:val="27"/>
        <w:numPr>
          <w:ilvl w:val="0"/>
          <w:numId w:val="9"/>
        </w:numPr>
        <w:tabs>
          <w:tab w:val="left" w:pos="993"/>
        </w:tabs>
        <w:spacing w:line="360" w:lineRule="auto"/>
        <w:ind w:left="0" w:firstLine="480"/>
        <w:rPr>
          <w:rFonts w:ascii="宋体" w:hAnsi="宋体"/>
          <w:sz w:val="24"/>
        </w:rPr>
      </w:pPr>
      <w:r>
        <w:rPr>
          <w:rFonts w:hint="eastAsia" w:ascii="宋体" w:hAnsi="宋体"/>
          <w:sz w:val="24"/>
        </w:rPr>
        <w:t>用户需求书。</w:t>
      </w:r>
    </w:p>
    <w:p>
      <w:pPr>
        <w:pStyle w:val="27"/>
        <w:numPr>
          <w:ilvl w:val="0"/>
          <w:numId w:val="9"/>
        </w:numPr>
        <w:tabs>
          <w:tab w:val="left" w:pos="993"/>
        </w:tabs>
        <w:spacing w:line="360" w:lineRule="auto"/>
        <w:ind w:left="0" w:firstLine="480"/>
        <w:rPr>
          <w:rFonts w:ascii="宋体" w:hAnsi="宋体"/>
          <w:sz w:val="24"/>
        </w:rPr>
      </w:pPr>
      <w:r>
        <w:rPr>
          <w:rFonts w:hint="eastAsia" w:ascii="宋体" w:hAnsi="宋体"/>
          <w:sz w:val="24"/>
        </w:rPr>
        <w:t>合同书格式。</w:t>
      </w:r>
    </w:p>
    <w:p>
      <w:pPr>
        <w:pStyle w:val="27"/>
        <w:numPr>
          <w:ilvl w:val="0"/>
          <w:numId w:val="8"/>
        </w:numPr>
        <w:tabs>
          <w:tab w:val="left" w:pos="1134"/>
        </w:tabs>
        <w:spacing w:line="360" w:lineRule="auto"/>
        <w:ind w:left="0" w:firstLine="482"/>
        <w:outlineLvl w:val="3"/>
        <w:rPr>
          <w:rFonts w:ascii="宋体" w:hAnsi="宋体"/>
          <w:b/>
          <w:bCs/>
          <w:sz w:val="24"/>
        </w:rPr>
      </w:pPr>
      <w:r>
        <w:rPr>
          <w:rFonts w:hint="eastAsia" w:ascii="宋体" w:hAnsi="宋体"/>
          <w:b/>
          <w:bCs/>
          <w:sz w:val="24"/>
          <w:szCs w:val="24"/>
        </w:rPr>
        <w:t>竞选文件的澄清</w:t>
      </w:r>
    </w:p>
    <w:p>
      <w:pPr>
        <w:tabs>
          <w:tab w:val="left" w:pos="0"/>
        </w:tabs>
        <w:spacing w:line="360" w:lineRule="auto"/>
        <w:ind w:firstLine="470" w:firstLineChars="196"/>
        <w:outlineLvl w:val="3"/>
        <w:rPr>
          <w:rFonts w:ascii="宋体" w:hAnsi="宋体"/>
          <w:bCs/>
          <w:sz w:val="24"/>
        </w:rPr>
      </w:pPr>
      <w:r>
        <w:rPr>
          <w:rFonts w:hint="eastAsia" w:ascii="宋体" w:hAnsi="宋体"/>
          <w:bCs/>
          <w:sz w:val="24"/>
          <w:szCs w:val="24"/>
        </w:rPr>
        <w:t>竞投截止时间前，竞投人如对竞选文件有任何疑问，应以书面方式（加盖公章）向招选人提出澄清要求。</w:t>
      </w:r>
    </w:p>
    <w:p>
      <w:pPr>
        <w:pStyle w:val="27"/>
        <w:numPr>
          <w:ilvl w:val="0"/>
          <w:numId w:val="8"/>
        </w:numPr>
        <w:tabs>
          <w:tab w:val="left" w:pos="1134"/>
        </w:tabs>
        <w:spacing w:line="360" w:lineRule="auto"/>
        <w:ind w:left="0" w:firstLine="482"/>
        <w:outlineLvl w:val="3"/>
        <w:rPr>
          <w:rFonts w:ascii="宋体" w:hAnsi="宋体"/>
          <w:b/>
          <w:bCs/>
          <w:sz w:val="24"/>
          <w:szCs w:val="24"/>
        </w:rPr>
      </w:pPr>
      <w:r>
        <w:rPr>
          <w:rFonts w:hint="eastAsia" w:ascii="宋体" w:hAnsi="宋体"/>
          <w:b/>
          <w:bCs/>
          <w:sz w:val="24"/>
          <w:szCs w:val="24"/>
        </w:rPr>
        <w:t>竞选文件的补充和修改</w:t>
      </w:r>
    </w:p>
    <w:p>
      <w:pPr>
        <w:pStyle w:val="27"/>
        <w:numPr>
          <w:ilvl w:val="0"/>
          <w:numId w:val="10"/>
        </w:numPr>
        <w:tabs>
          <w:tab w:val="left" w:pos="993"/>
        </w:tabs>
        <w:spacing w:line="360" w:lineRule="auto"/>
        <w:ind w:left="0" w:firstLine="480"/>
        <w:rPr>
          <w:rFonts w:ascii="宋体" w:hAnsi="宋体"/>
          <w:bCs/>
          <w:sz w:val="24"/>
        </w:rPr>
      </w:pPr>
      <w:r>
        <w:rPr>
          <w:rFonts w:hint="eastAsia" w:ascii="宋体" w:hAnsi="宋体"/>
          <w:bCs/>
          <w:sz w:val="24"/>
        </w:rPr>
        <w:t xml:space="preserve">对竞选文件进行必要的补充或修改，该补充或修改的内容为竞选文件的组成部分。 </w:t>
      </w:r>
    </w:p>
    <w:p>
      <w:pPr>
        <w:pStyle w:val="27"/>
        <w:numPr>
          <w:ilvl w:val="0"/>
          <w:numId w:val="10"/>
        </w:numPr>
        <w:tabs>
          <w:tab w:val="left" w:pos="993"/>
        </w:tabs>
        <w:spacing w:line="360" w:lineRule="auto"/>
        <w:ind w:left="0" w:firstLine="480"/>
        <w:rPr>
          <w:rFonts w:ascii="宋体" w:hAnsi="宋体"/>
          <w:bCs/>
          <w:sz w:val="24"/>
        </w:rPr>
      </w:pPr>
      <w:r>
        <w:rPr>
          <w:rFonts w:hint="eastAsia" w:ascii="宋体" w:hAnsi="宋体"/>
          <w:bCs/>
          <w:sz w:val="24"/>
        </w:rPr>
        <w:t>竞选过程中的一切修改文件或补充文件一旦确认后与竞选文件具有同等法律效力，竞投人有责任履行相应的义务。</w:t>
      </w:r>
    </w:p>
    <w:p>
      <w:pPr>
        <w:pStyle w:val="27"/>
        <w:numPr>
          <w:ilvl w:val="0"/>
          <w:numId w:val="7"/>
        </w:numPr>
        <w:spacing w:line="360" w:lineRule="auto"/>
        <w:ind w:firstLineChars="0"/>
        <w:outlineLvl w:val="1"/>
        <w:rPr>
          <w:b/>
          <w:sz w:val="24"/>
          <w:szCs w:val="24"/>
        </w:rPr>
      </w:pPr>
      <w:bookmarkStart w:id="44" w:name="_Toc238282334"/>
      <w:bookmarkStart w:id="45" w:name="_Toc24378767"/>
      <w:bookmarkStart w:id="46" w:name="_Toc185747580"/>
      <w:bookmarkStart w:id="47" w:name="_Toc334797734"/>
      <w:bookmarkStart w:id="48" w:name="_Toc428434791"/>
      <w:bookmarkStart w:id="49" w:name="_Toc224435720"/>
      <w:bookmarkStart w:id="50" w:name="_Toc427828577"/>
      <w:bookmarkStart w:id="51" w:name="_Toc223939095"/>
      <w:bookmarkStart w:id="52" w:name="_Toc225565947"/>
      <w:bookmarkStart w:id="53" w:name="_Toc228644972"/>
      <w:bookmarkStart w:id="54" w:name="_Toc427828527"/>
      <w:bookmarkStart w:id="55" w:name="_Toc228899501"/>
      <w:r>
        <w:rPr>
          <w:rFonts w:hint="eastAsia"/>
          <w:b/>
          <w:sz w:val="24"/>
          <w:szCs w:val="24"/>
        </w:rPr>
        <w:t>竞投文件</w:t>
      </w:r>
      <w:bookmarkEnd w:id="44"/>
      <w:bookmarkEnd w:id="45"/>
      <w:bookmarkEnd w:id="46"/>
      <w:bookmarkEnd w:id="47"/>
      <w:bookmarkEnd w:id="48"/>
      <w:bookmarkEnd w:id="49"/>
      <w:bookmarkEnd w:id="50"/>
      <w:bookmarkEnd w:id="51"/>
      <w:bookmarkEnd w:id="52"/>
      <w:bookmarkEnd w:id="53"/>
      <w:bookmarkEnd w:id="54"/>
      <w:bookmarkEnd w:id="55"/>
    </w:p>
    <w:p>
      <w:pPr>
        <w:numPr>
          <w:ilvl w:val="0"/>
          <w:numId w:val="11"/>
        </w:numPr>
        <w:tabs>
          <w:tab w:val="left" w:pos="1134"/>
        </w:tabs>
        <w:spacing w:line="360" w:lineRule="auto"/>
        <w:ind w:left="0" w:firstLine="482" w:firstLineChars="200"/>
        <w:outlineLvl w:val="3"/>
        <w:rPr>
          <w:rFonts w:ascii="宋体" w:hAnsi="宋体"/>
          <w:b/>
          <w:bCs/>
          <w:sz w:val="24"/>
        </w:rPr>
      </w:pPr>
      <w:r>
        <w:rPr>
          <w:rFonts w:hint="eastAsia" w:ascii="宋体" w:hAnsi="宋体"/>
          <w:b/>
          <w:bCs/>
          <w:sz w:val="24"/>
          <w:szCs w:val="24"/>
        </w:rPr>
        <w:t>竞投文件的编写</w:t>
      </w:r>
    </w:p>
    <w:p>
      <w:pPr>
        <w:pStyle w:val="27"/>
        <w:numPr>
          <w:ilvl w:val="3"/>
          <w:numId w:val="12"/>
        </w:numPr>
        <w:tabs>
          <w:tab w:val="left" w:pos="993"/>
        </w:tabs>
        <w:spacing w:line="360" w:lineRule="auto"/>
        <w:ind w:left="0" w:firstLine="480"/>
        <w:rPr>
          <w:rFonts w:ascii="宋体" w:hAnsi="宋体"/>
          <w:bCs/>
          <w:sz w:val="24"/>
        </w:rPr>
      </w:pPr>
      <w:r>
        <w:rPr>
          <w:rFonts w:hint="eastAsia" w:ascii="宋体" w:hAnsi="宋体"/>
          <w:bCs/>
          <w:sz w:val="24"/>
        </w:rPr>
        <w:t>竞投人应仔细阅读竞选文件的所有内容，按竞选文件的要求制作并递交竞投文件，并保证所提供的全部资料的真实性、准确性。</w:t>
      </w:r>
    </w:p>
    <w:p>
      <w:pPr>
        <w:pStyle w:val="27"/>
        <w:numPr>
          <w:ilvl w:val="3"/>
          <w:numId w:val="12"/>
        </w:numPr>
        <w:tabs>
          <w:tab w:val="left" w:pos="993"/>
        </w:tabs>
        <w:spacing w:line="360" w:lineRule="auto"/>
        <w:ind w:left="0" w:firstLine="480"/>
        <w:rPr>
          <w:rFonts w:ascii="宋体" w:hAnsi="宋体"/>
          <w:bCs/>
          <w:sz w:val="24"/>
        </w:rPr>
      </w:pPr>
      <w:r>
        <w:rPr>
          <w:rFonts w:hint="eastAsia" w:ascii="宋体" w:hAnsi="宋体"/>
          <w:bCs/>
          <w:sz w:val="24"/>
        </w:rPr>
        <w:t>竞投语言和计量单位：竞投文件和来往函件应用简体中文书写。计量单位应使用国际公制单位。</w:t>
      </w:r>
    </w:p>
    <w:p>
      <w:pPr>
        <w:pStyle w:val="27"/>
        <w:numPr>
          <w:ilvl w:val="3"/>
          <w:numId w:val="12"/>
        </w:numPr>
        <w:tabs>
          <w:tab w:val="left" w:pos="993"/>
        </w:tabs>
        <w:spacing w:line="360" w:lineRule="auto"/>
        <w:ind w:left="0" w:firstLine="480"/>
        <w:rPr>
          <w:rFonts w:ascii="宋体" w:hAnsi="宋体"/>
          <w:bCs/>
          <w:sz w:val="24"/>
        </w:rPr>
      </w:pPr>
      <w:r>
        <w:rPr>
          <w:rFonts w:hint="eastAsia" w:ascii="宋体" w:hAnsi="宋体"/>
          <w:bCs/>
          <w:sz w:val="24"/>
        </w:rPr>
        <w:t>竞投人须用人民币作为报价的货币单位。竞投文件的大写金额和小写金额不一致的，以大写金额为准；总价金额与按单价汇总金额不一致的，以单价金额计算结果为准；单价金额小数点有明显错位的，应以总价为准，并修改单价。</w:t>
      </w:r>
    </w:p>
    <w:p>
      <w:pPr>
        <w:pStyle w:val="27"/>
        <w:numPr>
          <w:ilvl w:val="3"/>
          <w:numId w:val="12"/>
        </w:numPr>
        <w:tabs>
          <w:tab w:val="left" w:pos="993"/>
        </w:tabs>
        <w:spacing w:line="360" w:lineRule="auto"/>
        <w:ind w:left="0" w:firstLine="480"/>
        <w:jc w:val="left"/>
        <w:rPr>
          <w:rFonts w:ascii="宋体" w:hAnsi="宋体"/>
          <w:bCs/>
          <w:sz w:val="24"/>
        </w:rPr>
      </w:pPr>
      <w:r>
        <w:rPr>
          <w:rFonts w:hint="eastAsia" w:ascii="宋体" w:hAnsi="宋体"/>
          <w:bCs/>
          <w:sz w:val="24"/>
        </w:rPr>
        <w:t>竞投人应自行承担能满足所承诺达到的服务质量所必需但竞投文件没有包含的所有人员、货物、版权、专利等一切费用，如果竞投人在中选并签署合同后，工作中出现任何遗漏，均由中选单位免费提供，招选人将不再支付任何费用。</w:t>
      </w:r>
    </w:p>
    <w:p>
      <w:pPr>
        <w:pStyle w:val="27"/>
        <w:numPr>
          <w:ilvl w:val="3"/>
          <w:numId w:val="12"/>
        </w:numPr>
        <w:tabs>
          <w:tab w:val="left" w:pos="993"/>
        </w:tabs>
        <w:spacing w:line="360" w:lineRule="auto"/>
        <w:ind w:left="0" w:firstLine="480"/>
        <w:jc w:val="left"/>
        <w:rPr>
          <w:rFonts w:ascii="宋体" w:hAnsi="宋体"/>
          <w:bCs/>
          <w:sz w:val="24"/>
        </w:rPr>
      </w:pPr>
      <w:r>
        <w:rPr>
          <w:rFonts w:hint="eastAsia" w:ascii="宋体" w:hAnsi="宋体"/>
          <w:bCs/>
          <w:sz w:val="24"/>
        </w:rPr>
        <w:t>竞投人在详细报价中应列出招选人需求的所有项目，竞投人认为必要的但在竞投文件中未列出的其它项目可在报价表后面做出补充，所补充的内容应在竞投文件中加以详细说明。</w:t>
      </w:r>
    </w:p>
    <w:p>
      <w:pPr>
        <w:pStyle w:val="27"/>
        <w:numPr>
          <w:ilvl w:val="3"/>
          <w:numId w:val="12"/>
        </w:numPr>
        <w:tabs>
          <w:tab w:val="left" w:pos="993"/>
        </w:tabs>
        <w:spacing w:line="360" w:lineRule="auto"/>
        <w:ind w:left="0" w:firstLine="480"/>
        <w:jc w:val="left"/>
        <w:rPr>
          <w:rFonts w:ascii="宋体" w:hAnsi="宋体"/>
          <w:bCs/>
          <w:sz w:val="24"/>
        </w:rPr>
      </w:pPr>
      <w:r>
        <w:rPr>
          <w:rFonts w:hint="eastAsia" w:ascii="宋体" w:hAnsi="宋体"/>
          <w:bCs/>
          <w:sz w:val="24"/>
        </w:rPr>
        <w:t>竞投人在编写竞投文件时，应填写竞选文件要求的内容及其附件，并根据实际情况补充评审所需资料，竞投文件只填写和提供了竞选文件要求的部分内容和附件，或没有提供竞选文件中所要求的全部资料及数据，或没有按实际情况提供竞投所需资料的，其可能导致的结果和责任由竞投人自行承担。</w:t>
      </w:r>
    </w:p>
    <w:p>
      <w:pPr>
        <w:numPr>
          <w:ilvl w:val="0"/>
          <w:numId w:val="11"/>
        </w:numPr>
        <w:tabs>
          <w:tab w:val="left" w:pos="1134"/>
        </w:tabs>
        <w:spacing w:line="360" w:lineRule="auto"/>
        <w:ind w:left="0" w:firstLine="482" w:firstLineChars="200"/>
        <w:outlineLvl w:val="3"/>
        <w:rPr>
          <w:rFonts w:ascii="宋体" w:hAnsi="宋体"/>
          <w:b/>
          <w:bCs/>
          <w:sz w:val="24"/>
          <w:szCs w:val="24"/>
        </w:rPr>
      </w:pPr>
      <w:r>
        <w:rPr>
          <w:rFonts w:hint="eastAsia" w:ascii="宋体" w:hAnsi="宋体"/>
          <w:b/>
          <w:bCs/>
          <w:sz w:val="24"/>
          <w:szCs w:val="24"/>
        </w:rPr>
        <w:t>竞投文件的组成</w:t>
      </w:r>
    </w:p>
    <w:p>
      <w:pPr>
        <w:tabs>
          <w:tab w:val="left" w:pos="0"/>
        </w:tabs>
        <w:spacing w:line="360" w:lineRule="auto"/>
        <w:ind w:firstLine="470" w:firstLineChars="196"/>
        <w:outlineLvl w:val="3"/>
        <w:rPr>
          <w:rFonts w:ascii="宋体" w:hAnsi="宋体"/>
          <w:sz w:val="24"/>
        </w:rPr>
      </w:pPr>
      <w:r>
        <w:rPr>
          <w:rFonts w:hint="eastAsia" w:ascii="宋体" w:hAnsi="宋体"/>
          <w:sz w:val="24"/>
          <w:szCs w:val="24"/>
        </w:rPr>
        <w:t>竞投</w:t>
      </w:r>
      <w:r>
        <w:rPr>
          <w:rFonts w:hint="eastAsia" w:ascii="宋体" w:hAnsi="宋体"/>
          <w:bCs/>
          <w:sz w:val="24"/>
          <w:szCs w:val="24"/>
        </w:rPr>
        <w:t>文件</w:t>
      </w:r>
      <w:r>
        <w:rPr>
          <w:rFonts w:hint="eastAsia" w:ascii="宋体" w:hAnsi="宋体"/>
          <w:sz w:val="24"/>
          <w:szCs w:val="24"/>
        </w:rPr>
        <w:t>应包含但不限于以下内容：</w:t>
      </w:r>
    </w:p>
    <w:p>
      <w:pPr>
        <w:numPr>
          <w:ilvl w:val="0"/>
          <w:numId w:val="13"/>
        </w:numPr>
        <w:tabs>
          <w:tab w:val="left" w:pos="993"/>
        </w:tabs>
        <w:spacing w:line="360" w:lineRule="auto"/>
        <w:ind w:left="0" w:firstLine="482" w:firstLineChars="200"/>
        <w:rPr>
          <w:rFonts w:ascii="宋体" w:hAnsi="宋体"/>
          <w:b/>
          <w:sz w:val="24"/>
          <w:u w:val="single"/>
        </w:rPr>
      </w:pPr>
      <w:r>
        <w:rPr>
          <w:rFonts w:hint="eastAsia" w:ascii="宋体" w:hAnsi="宋体"/>
          <w:b/>
          <w:sz w:val="24"/>
          <w:u w:val="single"/>
        </w:rPr>
        <w:t>按规定填写的竞投函、法定代表人证明及授权书、竞投报价表、竞投报价明细表。</w:t>
      </w:r>
    </w:p>
    <w:p>
      <w:pPr>
        <w:numPr>
          <w:ilvl w:val="0"/>
          <w:numId w:val="13"/>
        </w:numPr>
        <w:tabs>
          <w:tab w:val="left" w:pos="993"/>
        </w:tabs>
        <w:spacing w:line="360" w:lineRule="auto"/>
        <w:ind w:left="0" w:firstLine="482" w:firstLineChars="200"/>
        <w:rPr>
          <w:rFonts w:ascii="宋体" w:hAnsi="宋体"/>
          <w:b/>
          <w:sz w:val="24"/>
          <w:u w:val="single"/>
        </w:rPr>
      </w:pPr>
      <w:r>
        <w:rPr>
          <w:rFonts w:hint="eastAsia" w:ascii="宋体" w:hAnsi="宋体"/>
          <w:b/>
          <w:sz w:val="24"/>
          <w:u w:val="single"/>
        </w:rPr>
        <w:t>资格证明文件，即营业执照正或副本。</w:t>
      </w:r>
    </w:p>
    <w:p>
      <w:pPr>
        <w:numPr>
          <w:ilvl w:val="0"/>
          <w:numId w:val="13"/>
        </w:numPr>
        <w:tabs>
          <w:tab w:val="left" w:pos="993"/>
        </w:tabs>
        <w:spacing w:line="360" w:lineRule="auto"/>
        <w:ind w:left="0" w:firstLine="480" w:firstLineChars="200"/>
        <w:rPr>
          <w:rFonts w:ascii="宋体" w:hAnsi="宋体"/>
          <w:sz w:val="24"/>
        </w:rPr>
      </w:pPr>
      <w:r>
        <w:rPr>
          <w:rFonts w:hint="eastAsia" w:ascii="宋体" w:hAnsi="宋体"/>
          <w:sz w:val="24"/>
        </w:rPr>
        <w:t>竞投人认为须提交与评分内容相关的其他资料。</w:t>
      </w:r>
    </w:p>
    <w:p>
      <w:pPr>
        <w:numPr>
          <w:ilvl w:val="0"/>
          <w:numId w:val="11"/>
        </w:numPr>
        <w:tabs>
          <w:tab w:val="left" w:pos="1134"/>
        </w:tabs>
        <w:spacing w:line="360" w:lineRule="auto"/>
        <w:ind w:left="0" w:firstLine="482" w:firstLineChars="200"/>
        <w:outlineLvl w:val="3"/>
        <w:rPr>
          <w:rFonts w:ascii="宋体" w:hAnsi="宋体"/>
          <w:b/>
          <w:bCs/>
          <w:sz w:val="24"/>
          <w:szCs w:val="24"/>
        </w:rPr>
      </w:pPr>
      <w:r>
        <w:rPr>
          <w:rFonts w:hint="eastAsia" w:ascii="宋体" w:hAnsi="宋体"/>
          <w:b/>
          <w:bCs/>
          <w:sz w:val="24"/>
          <w:szCs w:val="24"/>
        </w:rPr>
        <w:t>竞投文件的修改和撤回</w:t>
      </w:r>
    </w:p>
    <w:p>
      <w:pPr>
        <w:tabs>
          <w:tab w:val="left" w:pos="0"/>
        </w:tabs>
        <w:spacing w:line="360" w:lineRule="auto"/>
        <w:ind w:firstLine="480" w:firstLineChars="200"/>
        <w:outlineLvl w:val="3"/>
        <w:rPr>
          <w:rFonts w:ascii="宋体" w:hAnsi="宋体"/>
          <w:sz w:val="24"/>
        </w:rPr>
      </w:pPr>
      <w:r>
        <w:rPr>
          <w:rFonts w:hint="eastAsia" w:ascii="宋体" w:hAnsi="宋体"/>
          <w:sz w:val="24"/>
          <w:szCs w:val="24"/>
        </w:rPr>
        <w:t>竞投截止时间之后，竞投人不得对其竞投文件做任何修改。从竞投截止时间起至竞投有效期前，竞投人不得撤回其竞投文件。</w:t>
      </w:r>
    </w:p>
    <w:p>
      <w:pPr>
        <w:spacing w:line="360" w:lineRule="auto"/>
        <w:ind w:firstLine="482" w:firstLineChars="200"/>
        <w:outlineLvl w:val="1"/>
        <w:rPr>
          <w:b/>
          <w:sz w:val="24"/>
          <w:szCs w:val="24"/>
        </w:rPr>
      </w:pPr>
      <w:bookmarkStart w:id="56" w:name="_Toc228644973"/>
      <w:bookmarkStart w:id="57" w:name="_Toc223939096"/>
      <w:bookmarkStart w:id="58" w:name="_Toc224435721"/>
      <w:bookmarkStart w:id="59" w:name="_Toc238282335"/>
      <w:bookmarkStart w:id="60" w:name="_Toc427828528"/>
      <w:bookmarkStart w:id="61" w:name="_Toc24378768"/>
      <w:bookmarkStart w:id="62" w:name="_Toc428434792"/>
      <w:bookmarkStart w:id="63" w:name="_Toc225565948"/>
      <w:bookmarkStart w:id="64" w:name="_Toc185747581"/>
      <w:bookmarkStart w:id="65" w:name="_Toc427828578"/>
      <w:bookmarkStart w:id="66" w:name="_Toc334797735"/>
      <w:bookmarkStart w:id="67" w:name="_Toc228899502"/>
      <w:bookmarkStart w:id="68" w:name="_Toc61327402"/>
      <w:bookmarkStart w:id="69" w:name="_Toc130695595"/>
      <w:bookmarkStart w:id="70" w:name="_Toc153615292"/>
      <w:bookmarkStart w:id="71" w:name="_Toc130697187"/>
      <w:r>
        <w:rPr>
          <w:rFonts w:hint="eastAsia"/>
          <w:b/>
          <w:sz w:val="24"/>
          <w:szCs w:val="24"/>
        </w:rPr>
        <w:t>四、竞投总则</w:t>
      </w:r>
      <w:bookmarkEnd w:id="56"/>
      <w:bookmarkEnd w:id="57"/>
      <w:bookmarkEnd w:id="58"/>
      <w:bookmarkEnd w:id="59"/>
      <w:bookmarkEnd w:id="60"/>
      <w:bookmarkEnd w:id="61"/>
      <w:bookmarkEnd w:id="62"/>
      <w:bookmarkEnd w:id="63"/>
      <w:bookmarkEnd w:id="64"/>
      <w:bookmarkEnd w:id="65"/>
      <w:bookmarkEnd w:id="66"/>
      <w:bookmarkEnd w:id="67"/>
    </w:p>
    <w:p>
      <w:pPr>
        <w:numPr>
          <w:ilvl w:val="0"/>
          <w:numId w:val="14"/>
        </w:numPr>
        <w:tabs>
          <w:tab w:val="left" w:pos="1134"/>
        </w:tabs>
        <w:spacing w:line="360" w:lineRule="auto"/>
        <w:ind w:left="0" w:firstLine="482" w:firstLineChars="200"/>
        <w:outlineLvl w:val="3"/>
        <w:rPr>
          <w:rFonts w:ascii="宋体" w:hAnsi="宋体"/>
          <w:b/>
          <w:bCs/>
          <w:sz w:val="24"/>
        </w:rPr>
      </w:pPr>
      <w:r>
        <w:rPr>
          <w:rFonts w:hint="eastAsia" w:ascii="宋体" w:hAnsi="宋体"/>
          <w:b/>
          <w:bCs/>
          <w:sz w:val="24"/>
          <w:szCs w:val="24"/>
        </w:rPr>
        <w:t>竞投</w:t>
      </w:r>
    </w:p>
    <w:p>
      <w:pPr>
        <w:pStyle w:val="27"/>
        <w:numPr>
          <w:ilvl w:val="0"/>
          <w:numId w:val="15"/>
        </w:numPr>
        <w:tabs>
          <w:tab w:val="left" w:pos="993"/>
        </w:tabs>
        <w:spacing w:line="360" w:lineRule="auto"/>
        <w:ind w:left="0" w:firstLine="482"/>
        <w:rPr>
          <w:rFonts w:ascii="宋体" w:hAnsi="宋体"/>
          <w:sz w:val="24"/>
        </w:rPr>
      </w:pPr>
      <w:r>
        <w:rPr>
          <w:rFonts w:hint="eastAsia" w:ascii="宋体" w:hAnsi="宋体"/>
          <w:b/>
          <w:sz w:val="24"/>
          <w:u w:val="single"/>
        </w:rPr>
        <w:t>全部竞投文件应一式伍份，其中正本壹份，副本肆份。所有竞投文件应用 A4 以下规格纸张打印</w:t>
      </w:r>
      <w:r>
        <w:rPr>
          <w:rFonts w:hint="eastAsia" w:ascii="宋体" w:hAnsi="宋体"/>
          <w:sz w:val="24"/>
        </w:rPr>
        <w:t>，并装订成册。竞投文件于封面注明“正本”和“副本”。如果正本与副本不符，应以正本为准。竞投文件应由竞投人的合法授权代表正式签署。</w:t>
      </w:r>
    </w:p>
    <w:p>
      <w:pPr>
        <w:pStyle w:val="27"/>
        <w:numPr>
          <w:ilvl w:val="0"/>
          <w:numId w:val="15"/>
        </w:numPr>
        <w:tabs>
          <w:tab w:val="left" w:pos="993"/>
        </w:tabs>
        <w:spacing w:line="360" w:lineRule="auto"/>
        <w:ind w:left="0" w:firstLine="480"/>
        <w:rPr>
          <w:rFonts w:ascii="宋体" w:hAnsi="宋体"/>
          <w:sz w:val="24"/>
        </w:rPr>
      </w:pPr>
      <w:r>
        <w:rPr>
          <w:rFonts w:hint="eastAsia" w:ascii="宋体" w:hAnsi="宋体"/>
          <w:sz w:val="24"/>
        </w:rPr>
        <w:t>竞投人资格文件视为竞投文件不可分割的一部分。</w:t>
      </w:r>
    </w:p>
    <w:p>
      <w:pPr>
        <w:pStyle w:val="27"/>
        <w:numPr>
          <w:ilvl w:val="0"/>
          <w:numId w:val="15"/>
        </w:numPr>
        <w:tabs>
          <w:tab w:val="left" w:pos="993"/>
        </w:tabs>
        <w:spacing w:line="360" w:lineRule="auto"/>
        <w:ind w:left="0" w:firstLine="480"/>
        <w:rPr>
          <w:rFonts w:ascii="宋体" w:hAnsi="宋体"/>
          <w:sz w:val="24"/>
        </w:rPr>
      </w:pPr>
      <w:r>
        <w:rPr>
          <w:rFonts w:hint="eastAsia" w:ascii="宋体" w:hAnsi="宋体"/>
          <w:sz w:val="24"/>
        </w:rPr>
        <w:t>本次竞投文件须</w:t>
      </w:r>
      <w:r>
        <w:rPr>
          <w:rFonts w:hint="eastAsia" w:ascii="宋体" w:hAnsi="宋体"/>
          <w:b/>
          <w:sz w:val="24"/>
          <w:u w:val="single"/>
        </w:rPr>
        <w:t>密封封装</w:t>
      </w:r>
      <w:r>
        <w:rPr>
          <w:rFonts w:hint="eastAsia" w:ascii="宋体" w:hAnsi="宋体"/>
          <w:sz w:val="24"/>
        </w:rPr>
        <w:t>；包括但不限于竞投函、授权书、企业资质文件、项目服务方案、</w:t>
      </w:r>
      <w:r>
        <w:rPr>
          <w:rFonts w:hint="eastAsia" w:ascii="宋体" w:hAnsi="宋体" w:cs="宋体"/>
          <w:sz w:val="24"/>
          <w:szCs w:val="24"/>
        </w:rPr>
        <w:t>公司成立至今同类项目业绩情况一览表等相关文件</w:t>
      </w:r>
      <w:r>
        <w:rPr>
          <w:rFonts w:hint="eastAsia" w:ascii="宋体" w:hAnsi="宋体"/>
          <w:sz w:val="24"/>
        </w:rPr>
        <w:t>、报价表等</w:t>
      </w:r>
      <w:r>
        <w:rPr>
          <w:rFonts w:hint="eastAsia" w:ascii="宋体" w:hAnsi="宋体" w:cs="宋体"/>
          <w:sz w:val="24"/>
          <w:szCs w:val="24"/>
        </w:rPr>
        <w:t>。</w:t>
      </w:r>
    </w:p>
    <w:p>
      <w:pPr>
        <w:pStyle w:val="27"/>
        <w:numPr>
          <w:ilvl w:val="0"/>
          <w:numId w:val="15"/>
        </w:numPr>
        <w:tabs>
          <w:tab w:val="left" w:pos="993"/>
        </w:tabs>
        <w:spacing w:line="360" w:lineRule="auto"/>
        <w:ind w:left="0" w:firstLine="482"/>
        <w:rPr>
          <w:rFonts w:ascii="宋体" w:hAnsi="宋体"/>
          <w:sz w:val="24"/>
        </w:rPr>
      </w:pPr>
      <w:r>
        <w:rPr>
          <w:rFonts w:hint="eastAsia" w:ascii="宋体" w:hAnsi="宋体"/>
          <w:b/>
          <w:sz w:val="24"/>
          <w:u w:val="single"/>
        </w:rPr>
        <w:t>所有竞投文件应在竞投截止时间前送达竞投评审会地点，并交予招选人，任何迟于截止时间的竞投将被拒绝</w:t>
      </w:r>
      <w:r>
        <w:rPr>
          <w:rFonts w:hint="eastAsia" w:ascii="宋体" w:hAnsi="宋体"/>
          <w:sz w:val="24"/>
        </w:rPr>
        <w:t>。</w:t>
      </w:r>
    </w:p>
    <w:p>
      <w:pPr>
        <w:pStyle w:val="27"/>
        <w:numPr>
          <w:ilvl w:val="0"/>
          <w:numId w:val="15"/>
        </w:numPr>
        <w:tabs>
          <w:tab w:val="left" w:pos="993"/>
        </w:tabs>
        <w:spacing w:line="360" w:lineRule="auto"/>
        <w:ind w:left="0" w:firstLine="482"/>
        <w:rPr>
          <w:rFonts w:ascii="宋体" w:hAnsi="宋体"/>
          <w:sz w:val="24"/>
        </w:rPr>
      </w:pPr>
      <w:r>
        <w:rPr>
          <w:rFonts w:hint="eastAsia" w:ascii="宋体" w:hAnsi="宋体"/>
          <w:b/>
          <w:sz w:val="24"/>
          <w:u w:val="single"/>
        </w:rPr>
        <w:t>所有竞投文件必须封入密封完好的信封或包装，封口加盖竞投单位公章。</w:t>
      </w:r>
      <w:r>
        <w:rPr>
          <w:rFonts w:hint="eastAsia" w:ascii="宋体" w:hAnsi="宋体"/>
          <w:sz w:val="24"/>
        </w:rPr>
        <w:t>招选人不接受电报、电话、电传、传真和邮寄等非约定形式竞投。</w:t>
      </w:r>
    </w:p>
    <w:p>
      <w:pPr>
        <w:numPr>
          <w:ilvl w:val="0"/>
          <w:numId w:val="14"/>
        </w:numPr>
        <w:tabs>
          <w:tab w:val="left" w:pos="1134"/>
        </w:tabs>
        <w:spacing w:line="360" w:lineRule="auto"/>
        <w:ind w:left="0" w:firstLine="482" w:firstLineChars="200"/>
        <w:outlineLvl w:val="3"/>
        <w:rPr>
          <w:rFonts w:ascii="宋体" w:hAnsi="宋体"/>
          <w:b/>
          <w:bCs/>
          <w:sz w:val="24"/>
        </w:rPr>
      </w:pPr>
      <w:r>
        <w:rPr>
          <w:rFonts w:hint="eastAsia" w:ascii="宋体" w:hAnsi="宋体"/>
          <w:b/>
          <w:bCs/>
          <w:sz w:val="24"/>
          <w:szCs w:val="24"/>
        </w:rPr>
        <w:t>竞投截至日</w:t>
      </w:r>
    </w:p>
    <w:p>
      <w:pPr>
        <w:tabs>
          <w:tab w:val="left" w:pos="0"/>
        </w:tabs>
        <w:spacing w:line="360" w:lineRule="auto"/>
        <w:ind w:firstLine="480" w:firstLineChars="200"/>
        <w:outlineLvl w:val="3"/>
        <w:rPr>
          <w:rFonts w:ascii="宋体" w:hAnsi="宋体"/>
          <w:sz w:val="24"/>
        </w:rPr>
      </w:pPr>
      <w:r>
        <w:rPr>
          <w:rFonts w:hint="eastAsia" w:ascii="宋体" w:hAnsi="宋体" w:cs="仿宋_GB2312"/>
          <w:kern w:val="0"/>
          <w:sz w:val="24"/>
        </w:rPr>
        <w:t>详见竞选公告</w:t>
      </w:r>
      <w:r>
        <w:rPr>
          <w:rFonts w:hint="eastAsia" w:ascii="宋体" w:hAnsi="宋体"/>
          <w:sz w:val="24"/>
          <w:szCs w:val="24"/>
        </w:rPr>
        <w:t>。</w:t>
      </w:r>
    </w:p>
    <w:p>
      <w:pPr>
        <w:numPr>
          <w:ilvl w:val="0"/>
          <w:numId w:val="14"/>
        </w:numPr>
        <w:tabs>
          <w:tab w:val="left" w:pos="1134"/>
        </w:tabs>
        <w:spacing w:line="360" w:lineRule="auto"/>
        <w:ind w:left="0" w:firstLine="482" w:firstLineChars="200"/>
        <w:outlineLvl w:val="3"/>
        <w:rPr>
          <w:rFonts w:ascii="宋体" w:hAnsi="宋体"/>
          <w:b/>
          <w:bCs/>
          <w:sz w:val="24"/>
        </w:rPr>
      </w:pPr>
      <w:r>
        <w:rPr>
          <w:rFonts w:hint="eastAsia" w:ascii="宋体" w:hAnsi="宋体"/>
          <w:b/>
          <w:bCs/>
          <w:sz w:val="24"/>
          <w:szCs w:val="24"/>
        </w:rPr>
        <w:t>竞投保证金</w:t>
      </w:r>
    </w:p>
    <w:p>
      <w:pPr>
        <w:tabs>
          <w:tab w:val="left" w:pos="0"/>
        </w:tabs>
        <w:spacing w:line="360" w:lineRule="auto"/>
        <w:ind w:firstLine="480" w:firstLineChars="200"/>
        <w:outlineLvl w:val="3"/>
        <w:rPr>
          <w:rFonts w:ascii="宋体" w:hAnsi="宋体"/>
          <w:sz w:val="24"/>
          <w:szCs w:val="24"/>
        </w:rPr>
      </w:pPr>
      <w:r>
        <w:rPr>
          <w:rFonts w:hint="eastAsia" w:ascii="宋体" w:hAnsi="宋体"/>
          <w:sz w:val="24"/>
          <w:szCs w:val="24"/>
        </w:rPr>
        <w:t>本项目不设竞投保证金。</w:t>
      </w:r>
      <w:bookmarkEnd w:id="68"/>
      <w:bookmarkEnd w:id="69"/>
      <w:bookmarkEnd w:id="70"/>
      <w:bookmarkEnd w:id="71"/>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tabs>
          <w:tab w:val="left" w:pos="0"/>
        </w:tabs>
        <w:ind w:firstLine="470" w:firstLineChars="196"/>
        <w:outlineLvl w:val="3"/>
        <w:rPr>
          <w:rFonts w:ascii="宋体" w:hAnsi="宋体"/>
          <w:sz w:val="24"/>
          <w:szCs w:val="24"/>
        </w:rPr>
      </w:pPr>
    </w:p>
    <w:p>
      <w:pPr>
        <w:widowControl/>
        <w:ind w:firstLine="480"/>
        <w:jc w:val="left"/>
        <w:rPr>
          <w:rFonts w:ascii="宋体" w:hAnsi="宋体"/>
          <w:sz w:val="24"/>
          <w:szCs w:val="24"/>
        </w:rPr>
      </w:pPr>
      <w:bookmarkStart w:id="72" w:name="_Toc427828530"/>
    </w:p>
    <w:bookmarkEnd w:id="72"/>
    <w:p>
      <w:pPr>
        <w:widowControl/>
        <w:ind w:firstLine="883"/>
        <w:jc w:val="left"/>
        <w:rPr>
          <w:rFonts w:ascii="宋体" w:hAnsi="宋体" w:cs="宋体"/>
          <w:b/>
          <w:kern w:val="44"/>
          <w:sz w:val="44"/>
          <w:szCs w:val="44"/>
        </w:rPr>
      </w:pPr>
      <w:bookmarkStart w:id="73" w:name="_Toc334797740"/>
      <w:bookmarkStart w:id="74" w:name="_Toc427828555"/>
      <w:bookmarkStart w:id="75" w:name="_Toc334797768"/>
      <w:bookmarkStart w:id="76" w:name="_Toc130139098"/>
      <w:r>
        <w:rPr>
          <w:rFonts w:ascii="宋体" w:hAnsi="宋体" w:cs="宋体"/>
          <w:b/>
          <w:kern w:val="44"/>
          <w:sz w:val="44"/>
          <w:szCs w:val="44"/>
        </w:rPr>
        <w:br w:type="page"/>
      </w:r>
    </w:p>
    <w:p>
      <w:pPr>
        <w:keepNext/>
        <w:keepLines/>
        <w:spacing w:line="360" w:lineRule="auto"/>
        <w:jc w:val="center"/>
        <w:outlineLvl w:val="0"/>
        <w:rPr>
          <w:rFonts w:ascii="宋体" w:hAnsi="宋体" w:cs="宋体"/>
          <w:b/>
          <w:kern w:val="44"/>
          <w:sz w:val="44"/>
          <w:szCs w:val="44"/>
        </w:rPr>
      </w:pPr>
      <w:bookmarkStart w:id="77" w:name="_Toc24378769"/>
      <w:r>
        <w:rPr>
          <w:rFonts w:hint="eastAsia" w:ascii="宋体" w:hAnsi="宋体" w:cs="宋体"/>
          <w:b/>
          <w:kern w:val="44"/>
          <w:sz w:val="44"/>
          <w:szCs w:val="44"/>
        </w:rPr>
        <w:t>第二部分 评审、</w:t>
      </w:r>
      <w:bookmarkEnd w:id="73"/>
      <w:r>
        <w:rPr>
          <w:rFonts w:hint="eastAsia" w:ascii="宋体" w:hAnsi="宋体" w:cs="宋体"/>
          <w:b/>
          <w:kern w:val="44"/>
          <w:sz w:val="44"/>
          <w:szCs w:val="44"/>
        </w:rPr>
        <w:t>选定</w:t>
      </w:r>
      <w:bookmarkEnd w:id="74"/>
      <w:bookmarkEnd w:id="77"/>
    </w:p>
    <w:p>
      <w:pPr>
        <w:pStyle w:val="27"/>
        <w:numPr>
          <w:ilvl w:val="0"/>
          <w:numId w:val="16"/>
        </w:numPr>
        <w:spacing w:line="360" w:lineRule="auto"/>
        <w:ind w:left="0" w:firstLine="482"/>
        <w:outlineLvl w:val="1"/>
        <w:rPr>
          <w:b/>
          <w:sz w:val="24"/>
          <w:szCs w:val="24"/>
        </w:rPr>
      </w:pPr>
      <w:bookmarkStart w:id="78" w:name="_Toc101775128"/>
      <w:bookmarkStart w:id="79" w:name="_Toc101843128"/>
      <w:bookmarkStart w:id="80" w:name="_Toc101771375"/>
      <w:bookmarkStart w:id="81" w:name="_Toc98580289"/>
      <w:bookmarkStart w:id="82" w:name="_Toc42394513"/>
      <w:bookmarkStart w:id="83" w:name="_Toc101951266"/>
      <w:bookmarkStart w:id="84" w:name="_Toc264203535"/>
      <w:bookmarkStart w:id="85" w:name="_Toc98579007"/>
      <w:bookmarkStart w:id="86" w:name="_Toc50276153"/>
      <w:bookmarkStart w:id="87" w:name="_Toc98579606"/>
      <w:bookmarkStart w:id="88" w:name="_Toc98579065"/>
      <w:bookmarkStart w:id="89" w:name="_Toc42394669"/>
      <w:bookmarkStart w:id="90" w:name="_Toc427828556"/>
      <w:bookmarkStart w:id="91" w:name="_Toc427828606"/>
      <w:bookmarkStart w:id="92" w:name="_Toc24378770"/>
      <w:bookmarkStart w:id="93" w:name="_Toc428434851"/>
      <w:bookmarkStart w:id="94" w:name="_Toc41884701"/>
      <w:bookmarkStart w:id="95" w:name="_Toc42313167"/>
      <w:bookmarkStart w:id="96" w:name="_Toc41723931"/>
      <w:r>
        <w:rPr>
          <w:rFonts w:hint="eastAsia"/>
          <w:b/>
          <w:sz w:val="24"/>
          <w:szCs w:val="24"/>
        </w:rPr>
        <w:t>开</w:t>
      </w:r>
      <w:bookmarkEnd w:id="78"/>
      <w:bookmarkEnd w:id="79"/>
      <w:bookmarkEnd w:id="80"/>
      <w:bookmarkEnd w:id="81"/>
      <w:bookmarkEnd w:id="82"/>
      <w:bookmarkEnd w:id="83"/>
      <w:bookmarkEnd w:id="84"/>
      <w:bookmarkEnd w:id="85"/>
      <w:bookmarkEnd w:id="86"/>
      <w:bookmarkEnd w:id="87"/>
      <w:bookmarkEnd w:id="88"/>
      <w:bookmarkEnd w:id="89"/>
      <w:r>
        <w:rPr>
          <w:rFonts w:hint="eastAsia"/>
          <w:b/>
          <w:sz w:val="24"/>
          <w:szCs w:val="24"/>
        </w:rPr>
        <w:t>启</w:t>
      </w:r>
      <w:bookmarkEnd w:id="90"/>
      <w:bookmarkEnd w:id="91"/>
      <w:bookmarkEnd w:id="92"/>
      <w:bookmarkEnd w:id="93"/>
    </w:p>
    <w:p>
      <w:pPr>
        <w:widowControl/>
        <w:numPr>
          <w:ilvl w:val="0"/>
          <w:numId w:val="17"/>
        </w:numPr>
        <w:tabs>
          <w:tab w:val="left" w:pos="0"/>
          <w:tab w:val="left" w:pos="993"/>
        </w:tabs>
        <w:spacing w:line="360" w:lineRule="auto"/>
        <w:ind w:left="0" w:firstLine="480"/>
        <w:rPr>
          <w:rFonts w:ascii="宋体" w:hAnsi="宋体"/>
          <w:sz w:val="24"/>
        </w:rPr>
      </w:pPr>
      <w:r>
        <w:rPr>
          <w:rFonts w:hint="eastAsia" w:ascii="宋体" w:hAnsi="宋体"/>
          <w:sz w:val="24"/>
        </w:rPr>
        <w:t>评审会评审时间（见竞选公告）。</w:t>
      </w:r>
    </w:p>
    <w:p>
      <w:pPr>
        <w:widowControl/>
        <w:numPr>
          <w:ilvl w:val="0"/>
          <w:numId w:val="17"/>
        </w:numPr>
        <w:tabs>
          <w:tab w:val="left" w:pos="0"/>
          <w:tab w:val="left" w:pos="993"/>
        </w:tabs>
        <w:spacing w:line="360" w:lineRule="auto"/>
        <w:ind w:left="0" w:firstLine="480"/>
        <w:rPr>
          <w:rFonts w:ascii="宋体" w:hAnsi="宋体"/>
          <w:sz w:val="24"/>
        </w:rPr>
      </w:pPr>
      <w:r>
        <w:rPr>
          <w:rFonts w:hint="eastAsia" w:ascii="宋体" w:hAnsi="宋体"/>
          <w:sz w:val="24"/>
        </w:rPr>
        <w:t>评审会上，经检查密封完好的竞投文件，由工作人员当众拆封，宣读竞投人名称、竞投价格和竞投文件的其他主要内容。</w:t>
      </w:r>
    </w:p>
    <w:p>
      <w:pPr>
        <w:widowControl/>
        <w:numPr>
          <w:ilvl w:val="0"/>
          <w:numId w:val="17"/>
        </w:numPr>
        <w:tabs>
          <w:tab w:val="left" w:pos="0"/>
          <w:tab w:val="left" w:pos="993"/>
        </w:tabs>
        <w:spacing w:line="360" w:lineRule="auto"/>
        <w:ind w:left="0" w:firstLine="480"/>
        <w:rPr>
          <w:rFonts w:ascii="宋体" w:hAnsi="宋体"/>
          <w:sz w:val="24"/>
        </w:rPr>
      </w:pPr>
      <w:r>
        <w:rPr>
          <w:rFonts w:hint="eastAsia" w:ascii="宋体" w:hAnsi="宋体"/>
          <w:sz w:val="24"/>
        </w:rPr>
        <w:t>竞投截止时间前，接收的通过</w:t>
      </w:r>
      <w:r>
        <w:rPr>
          <w:rFonts w:hint="eastAsia" w:ascii="宋体" w:hAnsi="宋体"/>
          <w:sz w:val="24"/>
          <w:szCs w:val="24"/>
        </w:rPr>
        <w:t>资格及符合性审查的</w:t>
      </w:r>
      <w:r>
        <w:rPr>
          <w:rFonts w:hint="eastAsia" w:ascii="宋体" w:hAnsi="宋体"/>
          <w:sz w:val="24"/>
        </w:rPr>
        <w:t>竞投人少于三家时，则竞选失败，已递交的竞投文件原封退回。</w:t>
      </w:r>
    </w:p>
    <w:p>
      <w:pPr>
        <w:widowControl/>
        <w:numPr>
          <w:ilvl w:val="0"/>
          <w:numId w:val="17"/>
        </w:numPr>
        <w:tabs>
          <w:tab w:val="left" w:pos="0"/>
          <w:tab w:val="left" w:pos="993"/>
        </w:tabs>
        <w:spacing w:line="360" w:lineRule="auto"/>
        <w:ind w:left="0" w:firstLine="480"/>
        <w:rPr>
          <w:rFonts w:ascii="宋体" w:hAnsi="宋体"/>
          <w:sz w:val="24"/>
        </w:rPr>
      </w:pPr>
      <w:r>
        <w:rPr>
          <w:rFonts w:hint="eastAsia" w:ascii="宋体" w:hAnsi="宋体"/>
          <w:sz w:val="24"/>
        </w:rPr>
        <w:t>招选人指定的记录人应在开启记录表上记录开启内容，并当场公示。</w:t>
      </w:r>
    </w:p>
    <w:p>
      <w:pPr>
        <w:pStyle w:val="27"/>
        <w:numPr>
          <w:ilvl w:val="0"/>
          <w:numId w:val="16"/>
        </w:numPr>
        <w:spacing w:line="360" w:lineRule="auto"/>
        <w:ind w:left="0" w:firstLine="482"/>
        <w:outlineLvl w:val="1"/>
        <w:rPr>
          <w:b/>
          <w:sz w:val="24"/>
          <w:szCs w:val="24"/>
        </w:rPr>
      </w:pPr>
      <w:bookmarkStart w:id="97" w:name="_Toc427828557"/>
      <w:bookmarkStart w:id="98" w:name="_Toc428434852"/>
      <w:bookmarkStart w:id="99" w:name="_Toc24378771"/>
      <w:bookmarkStart w:id="100" w:name="_Toc427828607"/>
      <w:r>
        <w:rPr>
          <w:rFonts w:hint="eastAsia"/>
          <w:b/>
          <w:sz w:val="24"/>
          <w:szCs w:val="24"/>
        </w:rPr>
        <w:t>评审</w:t>
      </w:r>
      <w:bookmarkEnd w:id="97"/>
      <w:bookmarkEnd w:id="98"/>
      <w:bookmarkEnd w:id="99"/>
      <w:bookmarkEnd w:id="100"/>
    </w:p>
    <w:p>
      <w:pPr>
        <w:widowControl/>
        <w:numPr>
          <w:ilvl w:val="0"/>
          <w:numId w:val="18"/>
        </w:numPr>
        <w:tabs>
          <w:tab w:val="left" w:pos="0"/>
          <w:tab w:val="left" w:pos="993"/>
        </w:tabs>
        <w:spacing w:line="360" w:lineRule="auto"/>
        <w:ind w:left="0" w:firstLine="480"/>
        <w:rPr>
          <w:rFonts w:ascii="宋体" w:hAnsi="宋体"/>
          <w:sz w:val="24"/>
        </w:rPr>
      </w:pPr>
      <w:bookmarkStart w:id="101" w:name="_Toc101951267"/>
      <w:bookmarkStart w:id="102" w:name="_Toc101843129"/>
      <w:bookmarkStart w:id="103" w:name="_Toc264203536"/>
      <w:bookmarkStart w:id="104" w:name="_Toc101775129"/>
      <w:bookmarkStart w:id="105" w:name="_Toc101771376"/>
      <w:r>
        <w:rPr>
          <w:rFonts w:hint="eastAsia" w:ascii="宋体" w:hAnsi="宋体"/>
          <w:sz w:val="24"/>
          <w:szCs w:val="24"/>
        </w:rPr>
        <w:t>本次竞选按相关规定组建评审小组，评审小组由招选人的代表共</w:t>
      </w:r>
      <w:r>
        <w:rPr>
          <w:rFonts w:hint="eastAsia" w:ascii="宋体" w:hAnsi="宋体"/>
          <w:sz w:val="24"/>
          <w:szCs w:val="24"/>
          <w:u w:val="single"/>
        </w:rPr>
        <w:t>5</w:t>
      </w:r>
      <w:r>
        <w:rPr>
          <w:rFonts w:hint="eastAsia" w:ascii="宋体" w:hAnsi="宋体"/>
          <w:sz w:val="24"/>
          <w:szCs w:val="24"/>
        </w:rPr>
        <w:t>名人员组成。评审将本着公平、公正、科学、择优的原则，严格按照法律法规和竞选文件的要求推荐评审结果。</w:t>
      </w:r>
    </w:p>
    <w:p>
      <w:pPr>
        <w:widowControl/>
        <w:numPr>
          <w:ilvl w:val="0"/>
          <w:numId w:val="18"/>
        </w:numPr>
        <w:tabs>
          <w:tab w:val="left" w:pos="0"/>
          <w:tab w:val="left" w:pos="993"/>
        </w:tabs>
        <w:spacing w:line="360" w:lineRule="auto"/>
        <w:ind w:left="0" w:firstLine="480"/>
        <w:rPr>
          <w:rFonts w:ascii="宋体" w:hAnsi="宋体"/>
          <w:sz w:val="24"/>
        </w:rPr>
      </w:pPr>
      <w:r>
        <w:rPr>
          <w:rFonts w:hint="eastAsia" w:ascii="宋体" w:hAnsi="宋体"/>
          <w:sz w:val="24"/>
          <w:szCs w:val="24"/>
        </w:rPr>
        <w:t>本次评审采用综合评分法（具体评审标准见后）。</w:t>
      </w:r>
    </w:p>
    <w:p>
      <w:pPr>
        <w:pStyle w:val="27"/>
        <w:numPr>
          <w:ilvl w:val="0"/>
          <w:numId w:val="16"/>
        </w:numPr>
        <w:spacing w:line="360" w:lineRule="auto"/>
        <w:ind w:left="0" w:firstLine="482"/>
        <w:outlineLvl w:val="1"/>
        <w:rPr>
          <w:b/>
          <w:sz w:val="24"/>
          <w:szCs w:val="24"/>
        </w:rPr>
      </w:pPr>
      <w:bookmarkStart w:id="106" w:name="_Toc427828608"/>
      <w:bookmarkStart w:id="107" w:name="_Toc24378772"/>
      <w:bookmarkStart w:id="108" w:name="_Toc428434853"/>
      <w:bookmarkStart w:id="109" w:name="_Toc427828558"/>
      <w:r>
        <w:rPr>
          <w:rFonts w:hint="eastAsia"/>
          <w:b/>
          <w:sz w:val="24"/>
          <w:szCs w:val="24"/>
        </w:rPr>
        <w:t>评审程序</w:t>
      </w:r>
      <w:bookmarkEnd w:id="101"/>
      <w:bookmarkEnd w:id="102"/>
      <w:bookmarkEnd w:id="103"/>
      <w:bookmarkEnd w:id="104"/>
      <w:bookmarkEnd w:id="105"/>
      <w:bookmarkEnd w:id="106"/>
      <w:bookmarkEnd w:id="107"/>
      <w:bookmarkEnd w:id="108"/>
      <w:bookmarkEnd w:id="109"/>
    </w:p>
    <w:p>
      <w:pPr>
        <w:widowControl/>
        <w:numPr>
          <w:ilvl w:val="0"/>
          <w:numId w:val="19"/>
        </w:numPr>
        <w:tabs>
          <w:tab w:val="left" w:pos="0"/>
          <w:tab w:val="left" w:pos="993"/>
        </w:tabs>
        <w:spacing w:line="360" w:lineRule="auto"/>
        <w:ind w:left="0" w:firstLine="482" w:firstLineChars="200"/>
        <w:rPr>
          <w:rFonts w:ascii="宋体" w:hAnsi="宋体"/>
          <w:b/>
          <w:sz w:val="24"/>
        </w:rPr>
      </w:pPr>
      <w:r>
        <w:rPr>
          <w:rFonts w:hint="eastAsia" w:ascii="宋体" w:hAnsi="宋体"/>
          <w:b/>
          <w:sz w:val="24"/>
          <w:szCs w:val="24"/>
        </w:rPr>
        <w:t>竞投文件资格及符合性审查</w:t>
      </w:r>
    </w:p>
    <w:p>
      <w:pPr>
        <w:widowControl/>
        <w:numPr>
          <w:ilvl w:val="0"/>
          <w:numId w:val="20"/>
        </w:numPr>
        <w:tabs>
          <w:tab w:val="left" w:pos="0"/>
          <w:tab w:val="left" w:pos="720"/>
          <w:tab w:val="left" w:pos="840"/>
          <w:tab w:val="left" w:pos="1080"/>
        </w:tabs>
        <w:spacing w:line="360" w:lineRule="auto"/>
        <w:ind w:left="0" w:firstLine="424" w:firstLineChars="177"/>
        <w:rPr>
          <w:rFonts w:ascii="宋体" w:hAnsi="宋体"/>
          <w:sz w:val="24"/>
        </w:rPr>
      </w:pPr>
      <w:r>
        <w:rPr>
          <w:rFonts w:hint="eastAsia" w:ascii="宋体" w:hAnsi="宋体"/>
          <w:sz w:val="24"/>
          <w:szCs w:val="24"/>
        </w:rPr>
        <w:t>评审小组将根据竞选文件的规定，对各竞投文件进行资格及符合性审查（具体审查标准见后附件）。</w:t>
      </w:r>
    </w:p>
    <w:p>
      <w:pPr>
        <w:widowControl/>
        <w:numPr>
          <w:ilvl w:val="0"/>
          <w:numId w:val="20"/>
        </w:numPr>
        <w:tabs>
          <w:tab w:val="left" w:pos="0"/>
          <w:tab w:val="left" w:pos="720"/>
          <w:tab w:val="left" w:pos="840"/>
          <w:tab w:val="left" w:pos="1080"/>
        </w:tabs>
        <w:spacing w:line="360" w:lineRule="auto"/>
        <w:ind w:left="0" w:firstLine="424" w:firstLineChars="177"/>
        <w:rPr>
          <w:rFonts w:ascii="宋体" w:hAnsi="宋体"/>
          <w:sz w:val="24"/>
        </w:rPr>
      </w:pPr>
      <w:r>
        <w:rPr>
          <w:rFonts w:hint="eastAsia" w:ascii="宋体" w:hAnsi="宋体"/>
          <w:sz w:val="24"/>
          <w:szCs w:val="24"/>
        </w:rPr>
        <w:t>符合性审查结论意见采取少数服从多数原则，即超过半数评审人员的结论为“通过”则该竞投人通过资格及符合性审查，否则不通过。</w:t>
      </w:r>
    </w:p>
    <w:p>
      <w:pPr>
        <w:widowControl/>
        <w:numPr>
          <w:ilvl w:val="0"/>
          <w:numId w:val="20"/>
        </w:numPr>
        <w:tabs>
          <w:tab w:val="left" w:pos="0"/>
          <w:tab w:val="left" w:pos="720"/>
          <w:tab w:val="left" w:pos="840"/>
          <w:tab w:val="left" w:pos="1080"/>
        </w:tabs>
        <w:spacing w:line="360" w:lineRule="auto"/>
        <w:ind w:left="0" w:firstLine="424" w:firstLineChars="177"/>
        <w:rPr>
          <w:rFonts w:ascii="宋体" w:hAnsi="宋体"/>
          <w:sz w:val="24"/>
        </w:rPr>
      </w:pPr>
      <w:r>
        <w:rPr>
          <w:rFonts w:hint="eastAsia" w:ascii="宋体" w:hAnsi="宋体"/>
          <w:sz w:val="24"/>
          <w:szCs w:val="24"/>
        </w:rPr>
        <w:t>不能通过资格及符合性审查的竞投文件，不得参与综合评审。</w:t>
      </w:r>
    </w:p>
    <w:p>
      <w:pPr>
        <w:widowControl/>
        <w:numPr>
          <w:ilvl w:val="0"/>
          <w:numId w:val="19"/>
        </w:numPr>
        <w:tabs>
          <w:tab w:val="left" w:pos="0"/>
          <w:tab w:val="left" w:pos="993"/>
        </w:tabs>
        <w:spacing w:line="360" w:lineRule="auto"/>
        <w:ind w:left="0" w:firstLine="482"/>
        <w:rPr>
          <w:rFonts w:ascii="宋体" w:hAnsi="宋体"/>
          <w:b/>
          <w:sz w:val="24"/>
        </w:rPr>
      </w:pPr>
      <w:r>
        <w:rPr>
          <w:rFonts w:hint="eastAsia" w:ascii="宋体" w:hAnsi="宋体"/>
          <w:b/>
          <w:sz w:val="24"/>
          <w:szCs w:val="24"/>
        </w:rPr>
        <w:t>竞投文件的澄清</w:t>
      </w:r>
    </w:p>
    <w:p>
      <w:pPr>
        <w:widowControl/>
        <w:numPr>
          <w:ilvl w:val="0"/>
          <w:numId w:val="21"/>
        </w:numPr>
        <w:tabs>
          <w:tab w:val="left" w:pos="0"/>
          <w:tab w:val="left" w:pos="720"/>
          <w:tab w:val="left" w:pos="840"/>
          <w:tab w:val="left" w:pos="1080"/>
        </w:tabs>
        <w:spacing w:line="360" w:lineRule="auto"/>
        <w:ind w:left="0" w:firstLine="480"/>
        <w:rPr>
          <w:rFonts w:ascii="宋体" w:hAnsi="宋体"/>
          <w:sz w:val="24"/>
        </w:rPr>
      </w:pPr>
      <w:r>
        <w:rPr>
          <w:rFonts w:hint="eastAsia" w:ascii="宋体" w:hAnsi="宋体"/>
          <w:sz w:val="24"/>
          <w:szCs w:val="24"/>
        </w:rPr>
        <w:t>对竞投文件中含义不明确、同类问题表述不一致或者有明显文字和计算错误的内容，评审小组可以书面形式要求竞投人做出必要的澄清、说明或者纠正。</w:t>
      </w:r>
    </w:p>
    <w:p>
      <w:pPr>
        <w:widowControl/>
        <w:numPr>
          <w:ilvl w:val="0"/>
          <w:numId w:val="21"/>
        </w:numPr>
        <w:tabs>
          <w:tab w:val="left" w:pos="0"/>
          <w:tab w:val="left" w:pos="720"/>
          <w:tab w:val="left" w:pos="840"/>
          <w:tab w:val="left" w:pos="1080"/>
        </w:tabs>
        <w:spacing w:line="360" w:lineRule="auto"/>
        <w:ind w:left="0" w:firstLine="480"/>
        <w:rPr>
          <w:rFonts w:ascii="宋体" w:hAnsi="宋体"/>
          <w:sz w:val="24"/>
        </w:rPr>
      </w:pPr>
      <w:r>
        <w:rPr>
          <w:rFonts w:hint="eastAsia" w:ascii="宋体" w:hAnsi="宋体"/>
          <w:sz w:val="24"/>
          <w:szCs w:val="24"/>
        </w:rPr>
        <w:t>竞投人的澄清、说明或者补正应当采用书面形式，由其授权的代表签字，并不得超出竞投文件的范围或者改变竞投文件的实质性内容。</w:t>
      </w:r>
    </w:p>
    <w:p>
      <w:pPr>
        <w:widowControl/>
        <w:numPr>
          <w:ilvl w:val="0"/>
          <w:numId w:val="21"/>
        </w:numPr>
        <w:tabs>
          <w:tab w:val="left" w:pos="0"/>
          <w:tab w:val="left" w:pos="720"/>
          <w:tab w:val="left" w:pos="840"/>
          <w:tab w:val="left" w:pos="1080"/>
        </w:tabs>
        <w:spacing w:line="360" w:lineRule="auto"/>
        <w:ind w:left="0" w:firstLine="480"/>
        <w:rPr>
          <w:rFonts w:ascii="宋体" w:hAnsi="宋体"/>
          <w:sz w:val="24"/>
        </w:rPr>
      </w:pPr>
      <w:r>
        <w:rPr>
          <w:rFonts w:hint="eastAsia" w:ascii="宋体" w:hAnsi="宋体"/>
          <w:sz w:val="24"/>
          <w:szCs w:val="24"/>
        </w:rPr>
        <w:t>除上述规定的情形之外，评审小组在评审过程中，不得接收来自评审现场以外的任何形式的文件资料。</w:t>
      </w:r>
    </w:p>
    <w:p>
      <w:pPr>
        <w:widowControl/>
        <w:numPr>
          <w:ilvl w:val="0"/>
          <w:numId w:val="19"/>
        </w:numPr>
        <w:tabs>
          <w:tab w:val="left" w:pos="0"/>
          <w:tab w:val="left" w:pos="993"/>
        </w:tabs>
        <w:spacing w:line="360" w:lineRule="auto"/>
        <w:ind w:left="0" w:firstLine="482"/>
        <w:rPr>
          <w:rFonts w:ascii="宋体" w:hAnsi="宋体"/>
          <w:b/>
          <w:sz w:val="24"/>
        </w:rPr>
      </w:pPr>
      <w:r>
        <w:rPr>
          <w:rFonts w:hint="eastAsia" w:ascii="宋体" w:hAnsi="宋体"/>
          <w:b/>
          <w:sz w:val="24"/>
          <w:szCs w:val="24"/>
        </w:rPr>
        <w:t>竞投人答辩</w:t>
      </w:r>
    </w:p>
    <w:p>
      <w:pPr>
        <w:widowControl/>
        <w:tabs>
          <w:tab w:val="left" w:pos="720"/>
          <w:tab w:val="left" w:pos="840"/>
          <w:tab w:val="left" w:pos="1080"/>
        </w:tabs>
        <w:spacing w:line="360" w:lineRule="auto"/>
        <w:ind w:firstLine="480" w:firstLineChars="200"/>
        <w:rPr>
          <w:rFonts w:ascii="宋体" w:hAnsi="宋体"/>
          <w:sz w:val="24"/>
        </w:rPr>
      </w:pPr>
      <w:r>
        <w:rPr>
          <w:rFonts w:hint="eastAsia" w:ascii="宋体" w:hAnsi="宋体"/>
          <w:sz w:val="24"/>
          <w:szCs w:val="24"/>
        </w:rPr>
        <w:t>招选人如有需要，可以要求竞投人在指定的地点、时间，针对竞投文件</w:t>
      </w:r>
      <w:r>
        <w:rPr>
          <w:rFonts w:hint="eastAsia" w:ascii="宋体" w:hAnsi="宋体"/>
          <w:sz w:val="24"/>
          <w:szCs w:val="20"/>
        </w:rPr>
        <w:t>进行详细阐述和答辩，答辩时间为每位竞投人</w:t>
      </w:r>
      <w:r>
        <w:rPr>
          <w:rFonts w:hint="eastAsia" w:ascii="宋体" w:hAnsi="宋体"/>
          <w:sz w:val="24"/>
          <w:szCs w:val="20"/>
          <w:u w:val="single"/>
        </w:rPr>
        <w:t>15</w:t>
      </w:r>
      <w:r>
        <w:rPr>
          <w:rFonts w:hint="eastAsia" w:ascii="宋体" w:hAnsi="宋体"/>
          <w:sz w:val="24"/>
          <w:szCs w:val="20"/>
        </w:rPr>
        <w:t>分钟</w:t>
      </w:r>
      <w:r>
        <w:rPr>
          <w:rFonts w:hint="eastAsia" w:ascii="宋体" w:hAnsi="宋体"/>
          <w:sz w:val="24"/>
          <w:szCs w:val="24"/>
        </w:rPr>
        <w:t>。</w:t>
      </w:r>
    </w:p>
    <w:p>
      <w:pPr>
        <w:widowControl/>
        <w:numPr>
          <w:ilvl w:val="0"/>
          <w:numId w:val="19"/>
        </w:numPr>
        <w:tabs>
          <w:tab w:val="left" w:pos="0"/>
          <w:tab w:val="left" w:pos="993"/>
        </w:tabs>
        <w:spacing w:line="360" w:lineRule="auto"/>
        <w:ind w:left="0" w:firstLine="482"/>
        <w:rPr>
          <w:rFonts w:ascii="宋体" w:hAnsi="宋体"/>
          <w:b/>
          <w:sz w:val="24"/>
        </w:rPr>
      </w:pPr>
      <w:bookmarkStart w:id="110" w:name="OLE_LINK3"/>
      <w:bookmarkStart w:id="111" w:name="OLE_LINK1"/>
      <w:r>
        <w:rPr>
          <w:rFonts w:hint="eastAsia" w:ascii="宋体" w:hAnsi="宋体"/>
          <w:b/>
          <w:sz w:val="24"/>
          <w:szCs w:val="24"/>
        </w:rPr>
        <w:t>综合评审</w:t>
      </w:r>
    </w:p>
    <w:p>
      <w:pPr>
        <w:pStyle w:val="27"/>
        <w:widowControl/>
        <w:numPr>
          <w:ilvl w:val="0"/>
          <w:numId w:val="22"/>
        </w:numPr>
        <w:tabs>
          <w:tab w:val="left" w:pos="0"/>
          <w:tab w:val="left" w:pos="720"/>
          <w:tab w:val="left" w:pos="840"/>
          <w:tab w:val="left" w:pos="1080"/>
        </w:tabs>
        <w:spacing w:line="360" w:lineRule="auto"/>
        <w:ind w:left="0" w:firstLine="480"/>
        <w:rPr>
          <w:rFonts w:ascii="宋体" w:hAnsi="宋体"/>
          <w:sz w:val="24"/>
          <w:szCs w:val="24"/>
        </w:rPr>
      </w:pPr>
      <w:r>
        <w:rPr>
          <w:rFonts w:hint="eastAsia" w:ascii="宋体" w:hAnsi="宋体"/>
          <w:sz w:val="24"/>
          <w:szCs w:val="24"/>
        </w:rPr>
        <w:t>由评审人员对所有有效竞投文件进行评审和打分，评审内容见附表。</w:t>
      </w:r>
    </w:p>
    <w:p>
      <w:pPr>
        <w:widowControl/>
        <w:tabs>
          <w:tab w:val="left" w:pos="0"/>
          <w:tab w:val="left" w:pos="720"/>
          <w:tab w:val="left" w:pos="840"/>
          <w:tab w:val="left" w:pos="1080"/>
        </w:tabs>
        <w:spacing w:line="360" w:lineRule="auto"/>
        <w:ind w:firstLine="480" w:firstLineChars="200"/>
        <w:rPr>
          <w:rFonts w:ascii="宋体" w:hAnsi="宋体"/>
          <w:sz w:val="24"/>
          <w:szCs w:val="24"/>
        </w:rPr>
      </w:pPr>
      <w:r>
        <w:rPr>
          <w:rFonts w:hint="eastAsia" w:ascii="宋体" w:hAnsi="宋体"/>
          <w:sz w:val="24"/>
          <w:szCs w:val="24"/>
        </w:rPr>
        <w:t>2.通过本项目资格及符合性审查且竞投报价不高于最高限价为有效报价。取全部有效报价的不含税报价计算平均值，该平均值为基准价。不含税报价等于或最接近基准价得50分；不含税报价高于或低于基准价，按（︱不含税报价-基准价︱）/基准价×50分进行扣分，精确到小数点后两位，扣至0分为止。</w:t>
      </w:r>
    </w:p>
    <w:p>
      <w:pPr>
        <w:widowControl/>
        <w:tabs>
          <w:tab w:val="left" w:pos="0"/>
          <w:tab w:val="left" w:pos="720"/>
          <w:tab w:val="left" w:pos="840"/>
          <w:tab w:val="left" w:pos="1080"/>
        </w:tabs>
        <w:spacing w:line="360" w:lineRule="auto"/>
        <w:ind w:firstLine="480" w:firstLineChars="200"/>
        <w:rPr>
          <w:rFonts w:ascii="宋体" w:hAnsi="宋体"/>
          <w:sz w:val="24"/>
          <w:szCs w:val="24"/>
        </w:rPr>
      </w:pPr>
      <w:r>
        <w:rPr>
          <w:rFonts w:hint="eastAsia" w:ascii="宋体" w:hAnsi="宋体"/>
          <w:sz w:val="24"/>
          <w:szCs w:val="24"/>
        </w:rPr>
        <w:t>3.将每一个评审人员的评分进行汇总，得出该竞投人的综合评分。</w:t>
      </w:r>
    </w:p>
    <w:p>
      <w:pPr>
        <w:widowControl/>
        <w:tabs>
          <w:tab w:val="left" w:pos="0"/>
          <w:tab w:val="left" w:pos="720"/>
          <w:tab w:val="left" w:pos="840"/>
          <w:tab w:val="left" w:pos="1080"/>
        </w:tabs>
        <w:spacing w:line="360" w:lineRule="auto"/>
        <w:ind w:firstLine="480" w:firstLineChars="200"/>
        <w:rPr>
          <w:rFonts w:ascii="宋体" w:hAnsi="宋体"/>
          <w:sz w:val="24"/>
          <w:szCs w:val="24"/>
        </w:rPr>
      </w:pPr>
      <w:r>
        <w:rPr>
          <w:rFonts w:hint="eastAsia" w:ascii="宋体" w:hAnsi="宋体"/>
          <w:sz w:val="24"/>
          <w:szCs w:val="24"/>
        </w:rPr>
        <w:t>4.得分按四舍五入原则精确到小数点后两位。将综合评分由高到低顺序排列。综合评分相同的，按技术部分的评分由高到低顺序排列；综合评分相同，且技术部分的评分相同的，按不含税报价由低到高顺序排列。综合评分相同，且不含税报价和技术部分评分均相同的，名次由评审人员会抽签决定。评审人员会按上述排列向招选人推荐第一名为中选候选人，其余依次为中选备选人。</w:t>
      </w:r>
    </w:p>
    <w:p>
      <w:pPr>
        <w:widowControl/>
        <w:tabs>
          <w:tab w:val="left" w:pos="0"/>
          <w:tab w:val="left" w:pos="720"/>
          <w:tab w:val="left" w:pos="840"/>
          <w:tab w:val="left" w:pos="1080"/>
        </w:tabs>
        <w:spacing w:line="360" w:lineRule="auto"/>
        <w:ind w:firstLine="480" w:firstLineChars="200"/>
        <w:rPr>
          <w:rFonts w:ascii="宋体" w:hAnsi="宋体"/>
          <w:sz w:val="24"/>
          <w:szCs w:val="24"/>
        </w:rPr>
      </w:pPr>
      <w:r>
        <w:rPr>
          <w:rFonts w:hint="eastAsia" w:ascii="宋体" w:hAnsi="宋体"/>
          <w:sz w:val="24"/>
          <w:szCs w:val="24"/>
        </w:rPr>
        <w:t>5.招选人根据评审结果确定第一候选人为中选人并发出《中选通知书》。《中选通知书》发出后10个日历天内，中选人须与招选人按照第五部分内容签订合同。如中选人未能按期按照上述合同条款签订合同，招选人有权取消中选人中选资格，并将第二候选人列为新中选人或者重新组织招选。</w:t>
      </w:r>
    </w:p>
    <w:p>
      <w:pPr>
        <w:widowControl/>
        <w:tabs>
          <w:tab w:val="left" w:pos="720"/>
          <w:tab w:val="left" w:pos="840"/>
          <w:tab w:val="left" w:pos="1080"/>
        </w:tabs>
        <w:spacing w:line="360" w:lineRule="auto"/>
        <w:ind w:firstLine="480" w:firstLineChars="200"/>
        <w:rPr>
          <w:rFonts w:ascii="宋体" w:hAnsi="宋体"/>
          <w:sz w:val="24"/>
          <w:szCs w:val="24"/>
        </w:rPr>
      </w:pPr>
      <w:r>
        <w:rPr>
          <w:rFonts w:hint="eastAsia" w:ascii="宋体" w:hAnsi="宋体"/>
          <w:sz w:val="24"/>
          <w:szCs w:val="24"/>
        </w:rPr>
        <w:t>6.中选人的竞投文件及评审过程中有关澄清文件均作为合同文件的组成部分。</w:t>
      </w:r>
      <w:bookmarkEnd w:id="94"/>
      <w:bookmarkEnd w:id="95"/>
      <w:bookmarkEnd w:id="96"/>
      <w:bookmarkStart w:id="112" w:name="_Toc427828559"/>
      <w:bookmarkStart w:id="113" w:name="_Toc428434854"/>
      <w:bookmarkStart w:id="114" w:name="_Toc427828609"/>
      <w:bookmarkStart w:id="115" w:name="_Toc334797765"/>
    </w:p>
    <w:bookmarkEnd w:id="110"/>
    <w:bookmarkEnd w:id="111"/>
    <w:p>
      <w:pPr>
        <w:widowControl/>
        <w:spacing w:line="360" w:lineRule="auto"/>
        <w:ind w:firstLine="480"/>
        <w:jc w:val="left"/>
        <w:rPr>
          <w:rFonts w:ascii="宋体" w:hAnsi="宋体"/>
          <w:sz w:val="24"/>
          <w:szCs w:val="24"/>
        </w:rPr>
      </w:pPr>
      <w:r>
        <w:rPr>
          <w:rFonts w:ascii="宋体" w:hAnsi="宋体"/>
          <w:sz w:val="24"/>
          <w:szCs w:val="24"/>
        </w:rPr>
        <w:br w:type="page"/>
      </w:r>
    </w:p>
    <w:bookmarkEnd w:id="112"/>
    <w:bookmarkEnd w:id="113"/>
    <w:bookmarkEnd w:id="114"/>
    <w:p>
      <w:pPr>
        <w:rPr>
          <w:rFonts w:ascii="宋体" w:hAnsi="宋体"/>
          <w:b/>
          <w:sz w:val="30"/>
          <w:szCs w:val="30"/>
        </w:rPr>
      </w:pPr>
      <w:r>
        <w:rPr>
          <w:rFonts w:hint="eastAsia" w:ascii="宋体" w:hAnsi="宋体"/>
          <w:b/>
          <w:sz w:val="30"/>
          <w:szCs w:val="30"/>
        </w:rPr>
        <w:t>附表一</w:t>
      </w:r>
    </w:p>
    <w:p>
      <w:pPr>
        <w:spacing w:line="360" w:lineRule="auto"/>
        <w:jc w:val="center"/>
        <w:rPr>
          <w:b/>
          <w:sz w:val="30"/>
          <w:szCs w:val="30"/>
        </w:rPr>
      </w:pPr>
      <w:bookmarkStart w:id="116" w:name="_Toc427828560"/>
      <w:bookmarkStart w:id="117" w:name="_Toc428434855"/>
      <w:bookmarkStart w:id="118" w:name="_Toc427828610"/>
      <w:r>
        <w:rPr>
          <w:rFonts w:hint="eastAsia"/>
          <w:b/>
          <w:sz w:val="30"/>
          <w:szCs w:val="30"/>
        </w:rPr>
        <w:t>资格及符合性审查表</w:t>
      </w:r>
      <w:bookmarkEnd w:id="115"/>
      <w:bookmarkEnd w:id="116"/>
      <w:bookmarkEnd w:id="117"/>
      <w:bookmarkEnd w:id="118"/>
    </w:p>
    <w:tbl>
      <w:tblPr>
        <w:tblStyle w:val="16"/>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1"/>
        <w:gridCol w:w="1486"/>
        <w:gridCol w:w="1486"/>
        <w:gridCol w:w="148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11" w:type="dxa"/>
            <w:vMerge w:val="restart"/>
            <w:vAlign w:val="center"/>
          </w:tcPr>
          <w:p>
            <w:pPr>
              <w:jc w:val="center"/>
              <w:rPr>
                <w:rFonts w:ascii="宋体" w:hAnsi="宋体"/>
                <w:b/>
                <w:bCs/>
                <w:sz w:val="24"/>
              </w:rPr>
            </w:pPr>
            <w:r>
              <w:rPr>
                <w:rFonts w:hint="eastAsia" w:ascii="宋体" w:hAnsi="宋体"/>
                <w:b/>
                <w:bCs/>
                <w:sz w:val="24"/>
                <w:szCs w:val="24"/>
              </w:rPr>
              <w:t>评审内容</w:t>
            </w:r>
          </w:p>
        </w:tc>
        <w:tc>
          <w:tcPr>
            <w:tcW w:w="5944" w:type="dxa"/>
            <w:gridSpan w:val="4"/>
            <w:vAlign w:val="center"/>
          </w:tcPr>
          <w:p>
            <w:pPr>
              <w:widowControl/>
              <w:jc w:val="center"/>
              <w:rPr>
                <w:rFonts w:ascii="宋体" w:hAnsi="宋体"/>
                <w:b/>
                <w:bCs/>
                <w:sz w:val="24"/>
              </w:rPr>
            </w:pPr>
            <w:r>
              <w:rPr>
                <w:rFonts w:hint="eastAsia" w:ascii="宋体" w:hAnsi="宋体"/>
                <w:b/>
                <w:bCs/>
                <w:sz w:val="24"/>
                <w:szCs w:val="24"/>
              </w:rPr>
              <w:t>竞投人名称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11" w:type="dxa"/>
            <w:vMerge w:val="continue"/>
            <w:vAlign w:val="center"/>
          </w:tcPr>
          <w:p>
            <w:pPr>
              <w:ind w:firstLine="482"/>
              <w:rPr>
                <w:rFonts w:ascii="宋体" w:hAnsi="宋体"/>
                <w:b/>
                <w:bCs/>
                <w:sz w:val="24"/>
              </w:rPr>
            </w:pPr>
          </w:p>
        </w:tc>
        <w:tc>
          <w:tcPr>
            <w:tcW w:w="1486" w:type="dxa"/>
            <w:vAlign w:val="center"/>
          </w:tcPr>
          <w:p>
            <w:pPr>
              <w:jc w:val="center"/>
              <w:rPr>
                <w:rFonts w:ascii="宋体" w:hAnsi="宋体" w:cs="宋体"/>
                <w:b/>
                <w:bCs/>
                <w:sz w:val="24"/>
              </w:rPr>
            </w:pPr>
            <w:r>
              <w:rPr>
                <w:rFonts w:hint="eastAsia" w:ascii="宋体" w:hAnsi="宋体" w:cs="宋体"/>
                <w:b/>
                <w:bCs/>
                <w:sz w:val="24"/>
                <w:szCs w:val="24"/>
              </w:rPr>
              <w:t>竞投人A</w:t>
            </w:r>
          </w:p>
        </w:tc>
        <w:tc>
          <w:tcPr>
            <w:tcW w:w="1486" w:type="dxa"/>
            <w:vAlign w:val="center"/>
          </w:tcPr>
          <w:p>
            <w:pPr>
              <w:jc w:val="center"/>
              <w:rPr>
                <w:rFonts w:ascii="宋体" w:hAnsi="宋体" w:cs="宋体"/>
                <w:b/>
                <w:bCs/>
                <w:sz w:val="24"/>
              </w:rPr>
            </w:pPr>
            <w:r>
              <w:rPr>
                <w:rFonts w:hint="eastAsia" w:ascii="宋体" w:hAnsi="宋体" w:cs="宋体"/>
                <w:b/>
                <w:bCs/>
                <w:sz w:val="24"/>
                <w:szCs w:val="24"/>
              </w:rPr>
              <w:t>竞投人B</w:t>
            </w:r>
          </w:p>
        </w:tc>
        <w:tc>
          <w:tcPr>
            <w:tcW w:w="1486" w:type="dxa"/>
            <w:vAlign w:val="center"/>
          </w:tcPr>
          <w:p>
            <w:pPr>
              <w:jc w:val="center"/>
              <w:rPr>
                <w:rFonts w:ascii="宋体" w:hAnsi="宋体" w:cs="宋体"/>
                <w:b/>
                <w:bCs/>
                <w:sz w:val="24"/>
              </w:rPr>
            </w:pPr>
            <w:r>
              <w:rPr>
                <w:rFonts w:hint="eastAsia" w:ascii="宋体" w:hAnsi="宋体" w:cs="宋体"/>
                <w:b/>
                <w:bCs/>
                <w:sz w:val="24"/>
                <w:szCs w:val="24"/>
              </w:rPr>
              <w:t>竞投人C</w:t>
            </w:r>
          </w:p>
        </w:tc>
        <w:tc>
          <w:tcPr>
            <w:tcW w:w="1486" w:type="dxa"/>
            <w:shd w:val="clear" w:color="auto" w:fill="auto"/>
            <w:vAlign w:val="center"/>
          </w:tcPr>
          <w:p>
            <w:pPr>
              <w:widowControl/>
              <w:jc w:val="center"/>
              <w:rPr>
                <w:rFonts w:ascii="宋体" w:hAnsi="宋体" w:cs="宋体"/>
                <w:b/>
                <w:bCs/>
                <w:sz w:val="24"/>
              </w:rPr>
            </w:pPr>
            <w:r>
              <w:rPr>
                <w:rFonts w:hint="eastAsia" w:ascii="宋体" w:hAnsi="宋体" w:cs="宋体"/>
                <w:b/>
                <w:bCs/>
                <w:sz w:val="24"/>
                <w:szCs w:val="24"/>
              </w:rPr>
              <w:t>竞投人D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911" w:type="dxa"/>
            <w:vAlign w:val="center"/>
          </w:tcPr>
          <w:p>
            <w:pPr>
              <w:jc w:val="left"/>
              <w:rPr>
                <w:rFonts w:ascii="宋体" w:hAnsi="宋体"/>
                <w:sz w:val="24"/>
                <w:szCs w:val="24"/>
              </w:rPr>
            </w:pPr>
            <w:r>
              <w:rPr>
                <w:rFonts w:hint="eastAsia" w:ascii="宋体" w:hAnsi="宋体"/>
                <w:sz w:val="24"/>
                <w:szCs w:val="24"/>
              </w:rPr>
              <w:t>竞投人必须是国内合法注册的法人；</w:t>
            </w:r>
          </w:p>
        </w:tc>
        <w:tc>
          <w:tcPr>
            <w:tcW w:w="1486" w:type="dxa"/>
            <w:vAlign w:val="center"/>
          </w:tcPr>
          <w:p>
            <w:pPr>
              <w:ind w:firstLine="560"/>
              <w:rPr>
                <w:rFonts w:ascii="宋体" w:hAnsi="宋体"/>
                <w:szCs w:val="21"/>
              </w:rPr>
            </w:pPr>
          </w:p>
        </w:tc>
        <w:tc>
          <w:tcPr>
            <w:tcW w:w="1486" w:type="dxa"/>
            <w:vAlign w:val="center"/>
          </w:tcPr>
          <w:p>
            <w:pPr>
              <w:ind w:firstLine="560"/>
              <w:rPr>
                <w:rFonts w:ascii="宋体" w:hAnsi="宋体"/>
                <w:szCs w:val="21"/>
              </w:rPr>
            </w:pPr>
          </w:p>
        </w:tc>
        <w:tc>
          <w:tcPr>
            <w:tcW w:w="1486" w:type="dxa"/>
            <w:vAlign w:val="center"/>
          </w:tcPr>
          <w:p>
            <w:pPr>
              <w:ind w:firstLine="560"/>
              <w:rPr>
                <w:rFonts w:ascii="宋体" w:hAnsi="宋体"/>
                <w:szCs w:val="21"/>
              </w:rPr>
            </w:pPr>
          </w:p>
        </w:tc>
        <w:tc>
          <w:tcPr>
            <w:tcW w:w="1486" w:type="dxa"/>
            <w:shd w:val="clear" w:color="auto" w:fill="auto"/>
          </w:tcPr>
          <w:p>
            <w:pPr>
              <w:widowControl/>
              <w:ind w:firstLine="56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jc w:val="center"/>
        </w:trPr>
        <w:tc>
          <w:tcPr>
            <w:tcW w:w="2911" w:type="dxa"/>
            <w:vAlign w:val="center"/>
          </w:tcPr>
          <w:p>
            <w:pPr>
              <w:jc w:val="left"/>
              <w:rPr>
                <w:rFonts w:ascii="宋体" w:hAnsi="宋体"/>
                <w:sz w:val="24"/>
                <w:szCs w:val="24"/>
              </w:rPr>
            </w:pPr>
            <w:r>
              <w:rPr>
                <w:rFonts w:hint="eastAsia" w:ascii="宋体" w:hAnsi="宋体"/>
                <w:sz w:val="24"/>
                <w:szCs w:val="24"/>
              </w:rPr>
              <w:t>有效法人证明书及授权委托书；</w:t>
            </w:r>
          </w:p>
        </w:tc>
        <w:tc>
          <w:tcPr>
            <w:tcW w:w="1486" w:type="dxa"/>
            <w:vAlign w:val="center"/>
          </w:tcPr>
          <w:p>
            <w:pPr>
              <w:ind w:firstLine="560"/>
              <w:rPr>
                <w:rFonts w:ascii="宋体" w:hAnsi="宋体"/>
                <w:szCs w:val="21"/>
              </w:rPr>
            </w:pPr>
          </w:p>
        </w:tc>
        <w:tc>
          <w:tcPr>
            <w:tcW w:w="1486" w:type="dxa"/>
            <w:vAlign w:val="center"/>
          </w:tcPr>
          <w:p>
            <w:pPr>
              <w:ind w:firstLine="560"/>
              <w:rPr>
                <w:rFonts w:ascii="宋体" w:hAnsi="宋体"/>
                <w:szCs w:val="21"/>
              </w:rPr>
            </w:pPr>
          </w:p>
        </w:tc>
        <w:tc>
          <w:tcPr>
            <w:tcW w:w="1486" w:type="dxa"/>
            <w:vAlign w:val="center"/>
          </w:tcPr>
          <w:p>
            <w:pPr>
              <w:ind w:firstLine="560"/>
              <w:rPr>
                <w:rFonts w:ascii="宋体" w:hAnsi="宋体"/>
                <w:szCs w:val="21"/>
              </w:rPr>
            </w:pPr>
          </w:p>
        </w:tc>
        <w:tc>
          <w:tcPr>
            <w:tcW w:w="1486" w:type="dxa"/>
            <w:shd w:val="clear" w:color="auto" w:fill="auto"/>
          </w:tcPr>
          <w:p>
            <w:pPr>
              <w:widowControl/>
              <w:ind w:firstLine="56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911" w:type="dxa"/>
            <w:vAlign w:val="center"/>
          </w:tcPr>
          <w:p>
            <w:pPr>
              <w:jc w:val="left"/>
              <w:rPr>
                <w:rFonts w:ascii="宋体" w:hAnsi="宋体"/>
                <w:sz w:val="24"/>
                <w:szCs w:val="24"/>
              </w:rPr>
            </w:pPr>
            <w:r>
              <w:rPr>
                <w:rFonts w:hint="eastAsia" w:ascii="宋体" w:hAnsi="宋体"/>
                <w:sz w:val="24"/>
                <w:szCs w:val="24"/>
              </w:rPr>
              <w:t>营业执照复印件；</w:t>
            </w:r>
          </w:p>
        </w:tc>
        <w:tc>
          <w:tcPr>
            <w:tcW w:w="1486" w:type="dxa"/>
            <w:vAlign w:val="center"/>
          </w:tcPr>
          <w:p>
            <w:pPr>
              <w:ind w:firstLine="560"/>
              <w:rPr>
                <w:rFonts w:ascii="宋体" w:hAnsi="宋体"/>
                <w:szCs w:val="21"/>
              </w:rPr>
            </w:pPr>
          </w:p>
        </w:tc>
        <w:tc>
          <w:tcPr>
            <w:tcW w:w="1486" w:type="dxa"/>
            <w:vAlign w:val="center"/>
          </w:tcPr>
          <w:p>
            <w:pPr>
              <w:ind w:firstLine="560"/>
              <w:rPr>
                <w:rFonts w:ascii="宋体" w:hAnsi="宋体"/>
                <w:szCs w:val="21"/>
              </w:rPr>
            </w:pPr>
          </w:p>
        </w:tc>
        <w:tc>
          <w:tcPr>
            <w:tcW w:w="1486" w:type="dxa"/>
            <w:vAlign w:val="center"/>
          </w:tcPr>
          <w:p>
            <w:pPr>
              <w:ind w:firstLine="560"/>
              <w:rPr>
                <w:rFonts w:ascii="宋体" w:hAnsi="宋体"/>
                <w:szCs w:val="21"/>
              </w:rPr>
            </w:pPr>
          </w:p>
        </w:tc>
        <w:tc>
          <w:tcPr>
            <w:tcW w:w="1486" w:type="dxa"/>
            <w:shd w:val="clear" w:color="auto" w:fill="auto"/>
          </w:tcPr>
          <w:p>
            <w:pPr>
              <w:widowControl/>
              <w:ind w:firstLine="56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911" w:type="dxa"/>
            <w:vAlign w:val="center"/>
          </w:tcPr>
          <w:p>
            <w:pPr>
              <w:jc w:val="left"/>
              <w:rPr>
                <w:rFonts w:ascii="宋体" w:hAnsi="宋体"/>
                <w:sz w:val="24"/>
                <w:szCs w:val="24"/>
              </w:rPr>
            </w:pPr>
            <w:r>
              <w:rPr>
                <w:rFonts w:hint="eastAsia" w:ascii="宋体" w:hAnsi="宋体"/>
                <w:sz w:val="24"/>
                <w:szCs w:val="24"/>
              </w:rPr>
              <w:t>竞投报价唯一且不高于招选人需求规定的最高限价；</w:t>
            </w:r>
          </w:p>
        </w:tc>
        <w:tc>
          <w:tcPr>
            <w:tcW w:w="1486" w:type="dxa"/>
            <w:vAlign w:val="center"/>
          </w:tcPr>
          <w:p>
            <w:pPr>
              <w:ind w:firstLine="560"/>
              <w:rPr>
                <w:rFonts w:ascii="宋体" w:hAnsi="宋体"/>
                <w:szCs w:val="21"/>
              </w:rPr>
            </w:pPr>
          </w:p>
        </w:tc>
        <w:tc>
          <w:tcPr>
            <w:tcW w:w="1486" w:type="dxa"/>
            <w:vAlign w:val="center"/>
          </w:tcPr>
          <w:p>
            <w:pPr>
              <w:ind w:firstLine="560"/>
              <w:rPr>
                <w:rFonts w:ascii="宋体" w:hAnsi="宋体"/>
                <w:szCs w:val="21"/>
              </w:rPr>
            </w:pPr>
          </w:p>
        </w:tc>
        <w:tc>
          <w:tcPr>
            <w:tcW w:w="1486" w:type="dxa"/>
            <w:vAlign w:val="center"/>
          </w:tcPr>
          <w:p>
            <w:pPr>
              <w:ind w:firstLine="560"/>
              <w:rPr>
                <w:rFonts w:ascii="宋体" w:hAnsi="宋体"/>
                <w:szCs w:val="21"/>
              </w:rPr>
            </w:pPr>
          </w:p>
        </w:tc>
        <w:tc>
          <w:tcPr>
            <w:tcW w:w="1486" w:type="dxa"/>
            <w:shd w:val="clear" w:color="auto" w:fill="auto"/>
          </w:tcPr>
          <w:p>
            <w:pPr>
              <w:widowControl/>
              <w:ind w:firstLine="56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jc w:val="center"/>
        </w:trPr>
        <w:tc>
          <w:tcPr>
            <w:tcW w:w="2911" w:type="dxa"/>
            <w:vAlign w:val="center"/>
          </w:tcPr>
          <w:p>
            <w:pPr>
              <w:jc w:val="left"/>
              <w:rPr>
                <w:rFonts w:hint="eastAsia" w:ascii="宋体" w:hAnsi="宋体"/>
                <w:sz w:val="24"/>
                <w:szCs w:val="24"/>
              </w:rPr>
            </w:pPr>
            <w:r>
              <w:rPr>
                <w:rFonts w:hint="default" w:ascii="宋体" w:hAnsi="宋体"/>
                <w:sz w:val="24"/>
                <w:szCs w:val="24"/>
              </w:rPr>
              <w:t>竞投人未被信用中国网站(www.creditchina.gov.cn)列入“失信被执行人”、“税收违法黑名单”、“政府采购不良行为记录（政府采购严重违法失信）”的记录名单（以招选人于资格审查时在上述网站查询结果为准）。</w:t>
            </w:r>
          </w:p>
        </w:tc>
        <w:tc>
          <w:tcPr>
            <w:tcW w:w="1486" w:type="dxa"/>
            <w:vAlign w:val="center"/>
          </w:tcPr>
          <w:p>
            <w:pPr>
              <w:jc w:val="left"/>
              <w:rPr>
                <w:rFonts w:hint="eastAsia" w:ascii="宋体" w:hAnsi="宋体"/>
                <w:sz w:val="24"/>
                <w:szCs w:val="24"/>
              </w:rPr>
            </w:pPr>
          </w:p>
        </w:tc>
        <w:tc>
          <w:tcPr>
            <w:tcW w:w="1486" w:type="dxa"/>
            <w:vAlign w:val="center"/>
          </w:tcPr>
          <w:p>
            <w:pPr>
              <w:jc w:val="left"/>
              <w:rPr>
                <w:rFonts w:hint="eastAsia" w:ascii="宋体" w:hAnsi="宋体"/>
                <w:sz w:val="24"/>
                <w:szCs w:val="24"/>
              </w:rPr>
            </w:pPr>
          </w:p>
        </w:tc>
        <w:tc>
          <w:tcPr>
            <w:tcW w:w="1486" w:type="dxa"/>
            <w:vAlign w:val="center"/>
          </w:tcPr>
          <w:p>
            <w:pPr>
              <w:jc w:val="left"/>
              <w:rPr>
                <w:rFonts w:hint="eastAsia" w:ascii="宋体" w:hAnsi="宋体"/>
                <w:sz w:val="24"/>
                <w:szCs w:val="24"/>
              </w:rPr>
            </w:pPr>
          </w:p>
        </w:tc>
        <w:tc>
          <w:tcPr>
            <w:tcW w:w="1486" w:type="dxa"/>
            <w:shd w:val="clear" w:color="auto" w:fill="auto"/>
          </w:tcPr>
          <w:p>
            <w:pPr>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911" w:type="dxa"/>
            <w:vAlign w:val="center"/>
          </w:tcPr>
          <w:p>
            <w:pPr>
              <w:jc w:val="center"/>
              <w:rPr>
                <w:rFonts w:ascii="宋体" w:hAnsi="宋体"/>
                <w:sz w:val="24"/>
                <w:szCs w:val="24"/>
              </w:rPr>
            </w:pPr>
            <w:r>
              <w:rPr>
                <w:rFonts w:hint="eastAsia" w:ascii="宋体" w:hAnsi="宋体"/>
                <w:sz w:val="24"/>
                <w:szCs w:val="24"/>
              </w:rPr>
              <w:t>结  论</w:t>
            </w:r>
          </w:p>
        </w:tc>
        <w:tc>
          <w:tcPr>
            <w:tcW w:w="1486" w:type="dxa"/>
            <w:vAlign w:val="center"/>
          </w:tcPr>
          <w:p>
            <w:pPr>
              <w:ind w:firstLine="560"/>
              <w:rPr>
                <w:rFonts w:ascii="宋体" w:hAnsi="宋体"/>
                <w:szCs w:val="21"/>
              </w:rPr>
            </w:pPr>
          </w:p>
        </w:tc>
        <w:tc>
          <w:tcPr>
            <w:tcW w:w="1486" w:type="dxa"/>
            <w:vAlign w:val="center"/>
          </w:tcPr>
          <w:p>
            <w:pPr>
              <w:ind w:firstLine="560"/>
              <w:rPr>
                <w:rFonts w:ascii="宋体" w:hAnsi="宋体"/>
                <w:szCs w:val="21"/>
              </w:rPr>
            </w:pPr>
          </w:p>
        </w:tc>
        <w:tc>
          <w:tcPr>
            <w:tcW w:w="1486" w:type="dxa"/>
            <w:vAlign w:val="center"/>
          </w:tcPr>
          <w:p>
            <w:pPr>
              <w:ind w:firstLine="560"/>
              <w:rPr>
                <w:rFonts w:ascii="宋体" w:hAnsi="宋体"/>
                <w:szCs w:val="21"/>
              </w:rPr>
            </w:pPr>
          </w:p>
        </w:tc>
        <w:tc>
          <w:tcPr>
            <w:tcW w:w="1486" w:type="dxa"/>
            <w:shd w:val="clear" w:color="auto" w:fill="auto"/>
          </w:tcPr>
          <w:p>
            <w:pPr>
              <w:widowControl/>
              <w:ind w:firstLine="560"/>
              <w:jc w:val="left"/>
              <w:rPr>
                <w:rFonts w:ascii="宋体" w:hAnsi="宋体"/>
                <w:szCs w:val="21"/>
              </w:rPr>
            </w:pPr>
          </w:p>
        </w:tc>
      </w:tr>
    </w:tbl>
    <w:p>
      <w:pPr>
        <w:ind w:firstLine="480"/>
        <w:rPr>
          <w:rFonts w:ascii="宋体" w:hAnsi="宋体"/>
          <w:sz w:val="24"/>
          <w:szCs w:val="24"/>
        </w:rPr>
      </w:pPr>
    </w:p>
    <w:p>
      <w:pPr>
        <w:ind w:firstLine="480"/>
        <w:rPr>
          <w:rFonts w:ascii="宋体" w:hAnsi="宋体"/>
          <w:sz w:val="24"/>
          <w:szCs w:val="24"/>
        </w:rPr>
      </w:pPr>
      <w:r>
        <w:rPr>
          <w:rFonts w:hint="eastAsia" w:ascii="宋体" w:hAnsi="宋体"/>
          <w:sz w:val="24"/>
          <w:szCs w:val="24"/>
        </w:rPr>
        <w:t>1、通过资格及符合性审查打“○”，反之打“×”。</w:t>
      </w:r>
    </w:p>
    <w:p>
      <w:pPr>
        <w:ind w:firstLine="480"/>
        <w:rPr>
          <w:rFonts w:ascii="宋体" w:hAnsi="宋体"/>
          <w:sz w:val="24"/>
          <w:szCs w:val="24"/>
        </w:rPr>
      </w:pPr>
      <w:r>
        <w:rPr>
          <w:rFonts w:hint="eastAsia" w:ascii="宋体" w:hAnsi="宋体"/>
          <w:sz w:val="24"/>
          <w:szCs w:val="24"/>
        </w:rPr>
        <w:t>2、表中出现一个或以上“×”，即该竞投人的评审“结论”为“不合格”。表中全部评审结果为“○”，即该竞投人的评审“结论”为“合格”。</w:t>
      </w:r>
    </w:p>
    <w:p>
      <w:pPr>
        <w:ind w:firstLine="480"/>
        <w:rPr>
          <w:rFonts w:ascii="宋体" w:hAnsi="宋体"/>
          <w:sz w:val="24"/>
          <w:szCs w:val="24"/>
        </w:rPr>
      </w:pPr>
      <w:r>
        <w:rPr>
          <w:rFonts w:hint="eastAsia" w:ascii="宋体" w:hAnsi="宋体"/>
          <w:sz w:val="24"/>
          <w:szCs w:val="24"/>
        </w:rPr>
        <w:t>3、若评审人员意见不一致时，则按少数服从多数的原则，决定该竞投人是否通过资格及符合性审查。</w:t>
      </w:r>
    </w:p>
    <w:p>
      <w:pPr>
        <w:ind w:firstLine="480" w:firstLineChars="200"/>
        <w:rPr>
          <w:rFonts w:ascii="宋体" w:hAnsi="宋体"/>
          <w:sz w:val="24"/>
          <w:szCs w:val="24"/>
        </w:rPr>
      </w:pPr>
    </w:p>
    <w:p>
      <w:pPr>
        <w:ind w:firstLine="1200" w:firstLineChars="500"/>
        <w:rPr>
          <w:rFonts w:ascii="宋体" w:hAnsi="宋体" w:cs="宋体"/>
          <w:b/>
          <w:sz w:val="24"/>
        </w:rPr>
      </w:pPr>
      <w:r>
        <w:rPr>
          <w:rFonts w:hint="eastAsia" w:ascii="宋体" w:hAnsi="宋体"/>
          <w:sz w:val="24"/>
          <w:szCs w:val="24"/>
        </w:rPr>
        <w:t>（请在通过符合性审查框中打“○”，反之打“×”。）</w:t>
      </w:r>
    </w:p>
    <w:p>
      <w:pPr>
        <w:ind w:firstLine="482"/>
        <w:jc w:val="center"/>
        <w:rPr>
          <w:rFonts w:ascii="宋体" w:hAnsi="宋体" w:cs="宋体"/>
          <w:b/>
          <w:sz w:val="24"/>
        </w:rPr>
      </w:pPr>
    </w:p>
    <w:p>
      <w:pPr>
        <w:ind w:firstLine="482"/>
        <w:rPr>
          <w:rFonts w:ascii="宋体" w:hAnsi="宋体" w:cs="宋体"/>
          <w:b/>
          <w:sz w:val="24"/>
        </w:rPr>
      </w:pPr>
    </w:p>
    <w:p>
      <w:pPr>
        <w:ind w:firstLine="482"/>
        <w:rPr>
          <w:rFonts w:ascii="宋体" w:hAnsi="宋体" w:cs="宋体"/>
          <w:b/>
          <w:sz w:val="24"/>
        </w:rPr>
      </w:pPr>
    </w:p>
    <w:p>
      <w:pPr>
        <w:ind w:firstLine="480"/>
        <w:jc w:val="left"/>
        <w:rPr>
          <w:rFonts w:ascii="宋体" w:hAnsi="宋体" w:cs="宋体"/>
          <w:sz w:val="24"/>
        </w:rPr>
      </w:pPr>
      <w:r>
        <w:rPr>
          <w:rFonts w:hint="eastAsia" w:ascii="宋体" w:hAnsi="宋体" w:cs="仿宋"/>
          <w:bCs/>
          <w:sz w:val="24"/>
          <w:szCs w:val="24"/>
        </w:rPr>
        <w:t>评审人（签名）：                                    日期：</w:t>
      </w:r>
    </w:p>
    <w:p>
      <w:pPr>
        <w:ind w:firstLine="482"/>
        <w:jc w:val="center"/>
        <w:rPr>
          <w:rFonts w:ascii="宋体" w:hAnsi="宋体" w:cs="宋体"/>
          <w:b/>
          <w:sz w:val="24"/>
        </w:rPr>
      </w:pPr>
    </w:p>
    <w:p>
      <w:pPr>
        <w:ind w:firstLine="482"/>
        <w:jc w:val="center"/>
        <w:rPr>
          <w:rFonts w:ascii="宋体" w:hAnsi="宋体" w:cs="宋体"/>
          <w:b/>
          <w:sz w:val="24"/>
        </w:rPr>
      </w:pPr>
    </w:p>
    <w:p>
      <w:pPr>
        <w:rPr>
          <w:rFonts w:ascii="宋体" w:hAnsi="宋体" w:cs="宋体"/>
          <w:b/>
          <w:bCs/>
          <w:sz w:val="32"/>
          <w:szCs w:val="32"/>
        </w:rPr>
      </w:pPr>
    </w:p>
    <w:p>
      <w:pPr>
        <w:rPr>
          <w:rFonts w:ascii="宋体" w:hAnsi="宋体"/>
          <w:b/>
          <w:sz w:val="30"/>
          <w:szCs w:val="30"/>
        </w:rPr>
      </w:pPr>
      <w:r>
        <w:rPr>
          <w:rFonts w:hint="eastAsia" w:ascii="宋体" w:hAnsi="宋体"/>
          <w:b/>
          <w:sz w:val="30"/>
          <w:szCs w:val="30"/>
        </w:rPr>
        <w:t>附表二</w:t>
      </w:r>
    </w:p>
    <w:p>
      <w:pPr>
        <w:spacing w:line="360" w:lineRule="auto"/>
        <w:jc w:val="center"/>
        <w:rPr>
          <w:rFonts w:ascii="宋体" w:hAnsi="宋体"/>
          <w:b/>
          <w:sz w:val="30"/>
          <w:szCs w:val="30"/>
        </w:rPr>
      </w:pPr>
      <w:r>
        <w:rPr>
          <w:rFonts w:hint="eastAsia" w:ascii="宋体" w:hAnsi="宋体"/>
          <w:b/>
          <w:sz w:val="30"/>
          <w:szCs w:val="30"/>
        </w:rPr>
        <w:t>综合评分表</w:t>
      </w:r>
    </w:p>
    <w:tbl>
      <w:tblPr>
        <w:tblStyle w:val="16"/>
        <w:tblW w:w="5102" w:type="pct"/>
        <w:jc w:val="center"/>
        <w:tblLayout w:type="autofit"/>
        <w:tblCellMar>
          <w:top w:w="0" w:type="dxa"/>
          <w:left w:w="108" w:type="dxa"/>
          <w:bottom w:w="0" w:type="dxa"/>
          <w:right w:w="108" w:type="dxa"/>
        </w:tblCellMar>
      </w:tblPr>
      <w:tblGrid>
        <w:gridCol w:w="1166"/>
        <w:gridCol w:w="1630"/>
        <w:gridCol w:w="736"/>
        <w:gridCol w:w="5782"/>
      </w:tblGrid>
      <w:tr>
        <w:tblPrEx>
          <w:tblCellMar>
            <w:top w:w="0" w:type="dxa"/>
            <w:left w:w="108" w:type="dxa"/>
            <w:bottom w:w="0" w:type="dxa"/>
            <w:right w:w="108" w:type="dxa"/>
          </w:tblCellMar>
        </w:tblPrEx>
        <w:trPr>
          <w:trHeight w:val="435" w:hRule="atLeast"/>
          <w:jc w:val="center"/>
        </w:trPr>
        <w:tc>
          <w:tcPr>
            <w:tcW w:w="1896" w:type="pct"/>
            <w:gridSpan w:val="3"/>
            <w:tcBorders>
              <w:top w:val="single" w:color="auto" w:sz="4" w:space="0"/>
              <w:left w:val="single" w:color="auto" w:sz="4" w:space="0"/>
              <w:bottom w:val="single" w:color="auto" w:sz="4" w:space="0"/>
              <w:right w:val="single" w:color="auto" w:sz="4" w:space="0"/>
            </w:tcBorders>
            <w:vAlign w:val="center"/>
          </w:tcPr>
          <w:p>
            <w:pPr>
              <w:widowControl/>
              <w:ind w:firstLine="562"/>
              <w:jc w:val="center"/>
              <w:rPr>
                <w:rFonts w:ascii="Times New Roman" w:hAnsi="Times New Roman" w:cs="宋体"/>
                <w:b/>
                <w:kern w:val="0"/>
                <w:szCs w:val="21"/>
              </w:rPr>
            </w:pPr>
            <w:r>
              <w:rPr>
                <w:rFonts w:hint="eastAsia" w:ascii="Times New Roman" w:hAnsi="Times New Roman" w:cs="宋体"/>
                <w:b/>
                <w:kern w:val="0"/>
                <w:szCs w:val="21"/>
              </w:rPr>
              <w:t>竞投人名称</w:t>
            </w:r>
          </w:p>
        </w:tc>
        <w:tc>
          <w:tcPr>
            <w:tcW w:w="3103" w:type="pct"/>
            <w:tcBorders>
              <w:top w:val="single" w:color="auto" w:sz="4" w:space="0"/>
              <w:left w:val="nil"/>
              <w:bottom w:val="single" w:color="auto" w:sz="4" w:space="0"/>
              <w:right w:val="single" w:color="auto" w:sz="4" w:space="0"/>
            </w:tcBorders>
            <w:vAlign w:val="center"/>
          </w:tcPr>
          <w:p>
            <w:pPr>
              <w:widowControl/>
              <w:ind w:firstLine="562"/>
              <w:jc w:val="center"/>
              <w:rPr>
                <w:rFonts w:ascii="Times New Roman" w:hAnsi="Times New Roman" w:cs="宋体"/>
                <w:b/>
                <w:kern w:val="0"/>
                <w:szCs w:val="21"/>
              </w:rPr>
            </w:pPr>
          </w:p>
        </w:tc>
      </w:tr>
      <w:tr>
        <w:trPr>
          <w:trHeight w:val="435"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b/>
                <w:kern w:val="0"/>
                <w:szCs w:val="21"/>
              </w:rPr>
            </w:pPr>
            <w:r>
              <w:rPr>
                <w:rFonts w:hint="eastAsia" w:ascii="Times New Roman" w:hAnsi="Times New Roman" w:cs="宋体"/>
                <w:b/>
                <w:kern w:val="0"/>
                <w:szCs w:val="21"/>
              </w:rPr>
              <w:t>评审分项</w:t>
            </w:r>
          </w:p>
        </w:tc>
        <w:tc>
          <w:tcPr>
            <w:tcW w:w="874"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
                <w:kern w:val="0"/>
                <w:szCs w:val="21"/>
              </w:rPr>
            </w:pPr>
            <w:r>
              <w:rPr>
                <w:rFonts w:hint="eastAsia" w:ascii="Times New Roman" w:hAnsi="Times New Roman" w:cs="宋体"/>
                <w:b/>
                <w:kern w:val="0"/>
                <w:szCs w:val="21"/>
              </w:rPr>
              <w:t>内容</w:t>
            </w:r>
          </w:p>
        </w:tc>
        <w:tc>
          <w:tcPr>
            <w:tcW w:w="395"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
                <w:kern w:val="0"/>
                <w:szCs w:val="21"/>
              </w:rPr>
            </w:pPr>
            <w:r>
              <w:rPr>
                <w:rFonts w:hint="eastAsia" w:ascii="Times New Roman" w:hAnsi="Times New Roman" w:cs="宋体"/>
                <w:b/>
                <w:kern w:val="0"/>
                <w:szCs w:val="21"/>
              </w:rPr>
              <w:t>分值</w:t>
            </w:r>
          </w:p>
        </w:tc>
        <w:tc>
          <w:tcPr>
            <w:tcW w:w="3103" w:type="pct"/>
            <w:tcBorders>
              <w:top w:val="single" w:color="auto" w:sz="4" w:space="0"/>
              <w:left w:val="nil"/>
              <w:bottom w:val="single" w:color="auto" w:sz="4" w:space="0"/>
              <w:right w:val="single" w:color="auto" w:sz="4" w:space="0"/>
            </w:tcBorders>
            <w:vAlign w:val="center"/>
          </w:tcPr>
          <w:p>
            <w:pPr>
              <w:widowControl/>
              <w:ind w:firstLine="562"/>
              <w:jc w:val="center"/>
              <w:rPr>
                <w:rFonts w:ascii="Times New Roman" w:hAnsi="Times New Roman" w:cs="宋体"/>
                <w:b/>
                <w:kern w:val="0"/>
                <w:szCs w:val="21"/>
              </w:rPr>
            </w:pPr>
            <w:r>
              <w:rPr>
                <w:rFonts w:hint="eastAsia" w:ascii="Times New Roman" w:hAnsi="Times New Roman" w:cs="宋体"/>
                <w:b/>
                <w:kern w:val="0"/>
                <w:szCs w:val="21"/>
              </w:rPr>
              <w:t>评审标准</w:t>
            </w:r>
          </w:p>
        </w:tc>
      </w:tr>
      <w:tr>
        <w:tblPrEx>
          <w:tblCellMar>
            <w:top w:w="0" w:type="dxa"/>
            <w:left w:w="108" w:type="dxa"/>
            <w:bottom w:w="0" w:type="dxa"/>
            <w:right w:w="108" w:type="dxa"/>
          </w:tblCellMar>
        </w:tblPrEx>
        <w:trPr>
          <w:trHeight w:val="810" w:hRule="atLeast"/>
          <w:jc w:val="center"/>
        </w:trPr>
        <w:tc>
          <w:tcPr>
            <w:tcW w:w="626" w:type="pct"/>
            <w:tcBorders>
              <w:left w:val="single" w:color="auto" w:sz="4" w:space="0"/>
              <w:right w:val="single" w:color="auto" w:sz="4" w:space="0"/>
            </w:tcBorders>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商务部分</w:t>
            </w:r>
          </w:p>
        </w:tc>
        <w:tc>
          <w:tcPr>
            <w:tcW w:w="874" w:type="pct"/>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相关业绩</w:t>
            </w:r>
          </w:p>
        </w:tc>
        <w:tc>
          <w:tcPr>
            <w:tcW w:w="39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kern w:val="0"/>
                <w:sz w:val="18"/>
                <w:szCs w:val="18"/>
              </w:rPr>
            </w:pPr>
            <w:r>
              <w:rPr>
                <w:rFonts w:hint="eastAsia" w:ascii="Times New Roman" w:hAnsi="Times New Roman" w:cs="宋体"/>
                <w:kern w:val="0"/>
                <w:sz w:val="18"/>
                <w:szCs w:val="18"/>
              </w:rPr>
              <w:t>10分</w:t>
            </w:r>
          </w:p>
        </w:tc>
        <w:tc>
          <w:tcPr>
            <w:tcW w:w="3103" w:type="pct"/>
            <w:tcBorders>
              <w:top w:val="nil"/>
              <w:left w:val="nil"/>
              <w:bottom w:val="single" w:color="auto" w:sz="4" w:space="0"/>
              <w:right w:val="single" w:color="auto" w:sz="4" w:space="0"/>
            </w:tcBorders>
            <w:vAlign w:val="center"/>
          </w:tcPr>
          <w:p>
            <w:pPr>
              <w:widowControl/>
              <w:jc w:val="left"/>
              <w:rPr>
                <w:rFonts w:asciiTheme="minorEastAsia" w:hAnsiTheme="minorEastAsia" w:eastAsiaTheme="minorEastAsia"/>
              </w:rPr>
            </w:pPr>
            <w:r>
              <w:rPr>
                <w:rFonts w:hint="eastAsia" w:cs="宋体" w:asciiTheme="minorEastAsia" w:hAnsiTheme="minorEastAsia" w:eastAsiaTheme="minorEastAsia"/>
                <w:kern w:val="0"/>
                <w:sz w:val="18"/>
                <w:szCs w:val="18"/>
              </w:rPr>
              <w:t>竞投人201</w:t>
            </w:r>
            <w:r>
              <w:rPr>
                <w:rFonts w:hint="eastAsia" w:cs="宋体" w:asciiTheme="minorEastAsia" w:hAnsiTheme="minorEastAsia" w:eastAsiaTheme="minorEastAsia"/>
                <w:kern w:val="0"/>
                <w:sz w:val="18"/>
                <w:szCs w:val="18"/>
                <w:lang w:val="en-US" w:eastAsia="zh-CN"/>
              </w:rPr>
              <w:t>9</w:t>
            </w:r>
            <w:r>
              <w:rPr>
                <w:rFonts w:hint="eastAsia" w:cs="宋体" w:asciiTheme="minorEastAsia" w:hAnsiTheme="minorEastAsia" w:eastAsiaTheme="minorEastAsia"/>
                <w:kern w:val="0"/>
                <w:sz w:val="18"/>
                <w:szCs w:val="18"/>
              </w:rPr>
              <w:t>年1月1日起至今完成过LED屏建设或维保项目（须提供项目合同），每个项目得2分，本项累计最高得10分。</w:t>
            </w:r>
          </w:p>
        </w:tc>
      </w:tr>
      <w:tr>
        <w:trPr>
          <w:trHeight w:val="1228" w:hRule="atLeast"/>
          <w:jc w:val="center"/>
        </w:trPr>
        <w:tc>
          <w:tcPr>
            <w:tcW w:w="626" w:type="pct"/>
            <w:vMerge w:val="restart"/>
            <w:tcBorders>
              <w:top w:val="single" w:color="auto" w:sz="4" w:space="0"/>
              <w:left w:val="single" w:color="auto" w:sz="4" w:space="0"/>
              <w:right w:val="single" w:color="auto" w:sz="4" w:space="0"/>
            </w:tcBorders>
            <w:vAlign w:val="center"/>
          </w:tcPr>
          <w:p>
            <w:pPr>
              <w:jc w:val="center"/>
              <w:rPr>
                <w:rFonts w:ascii="Times New Roman" w:hAnsi="Times New Roman" w:cs="宋体"/>
                <w:kern w:val="0"/>
                <w:sz w:val="18"/>
                <w:szCs w:val="18"/>
              </w:rPr>
            </w:pPr>
            <w:r>
              <w:rPr>
                <w:rFonts w:hint="eastAsia" w:ascii="Times New Roman" w:hAnsi="Times New Roman" w:cs="宋体"/>
                <w:kern w:val="0"/>
                <w:sz w:val="18"/>
                <w:szCs w:val="18"/>
              </w:rPr>
              <w:t>技术部分</w:t>
            </w:r>
          </w:p>
        </w:tc>
        <w:tc>
          <w:tcPr>
            <w:tcW w:w="874" w:type="pct"/>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18"/>
                <w:szCs w:val="18"/>
              </w:rPr>
            </w:pPr>
            <w:r>
              <w:rPr>
                <w:rFonts w:hint="eastAsia" w:ascii="宋体" w:hAnsi="宋体" w:cs="宋体"/>
                <w:kern w:val="0"/>
                <w:sz w:val="18"/>
                <w:szCs w:val="18"/>
              </w:rPr>
              <w:t>维修保养方案</w:t>
            </w:r>
          </w:p>
        </w:tc>
        <w:tc>
          <w:tcPr>
            <w:tcW w:w="39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kern w:val="0"/>
                <w:sz w:val="18"/>
                <w:szCs w:val="18"/>
              </w:rPr>
            </w:pPr>
            <w:r>
              <w:rPr>
                <w:rFonts w:hint="eastAsia" w:ascii="Times New Roman" w:hAnsi="Times New Roman" w:cs="宋体"/>
                <w:kern w:val="0"/>
                <w:sz w:val="18"/>
                <w:szCs w:val="18"/>
              </w:rPr>
              <w:t>20分</w:t>
            </w:r>
          </w:p>
        </w:tc>
        <w:tc>
          <w:tcPr>
            <w:tcW w:w="3103" w:type="pct"/>
            <w:tcBorders>
              <w:top w:val="nil"/>
              <w:left w:val="nil"/>
              <w:bottom w:val="single" w:color="auto" w:sz="4" w:space="0"/>
              <w:right w:val="single" w:color="auto" w:sz="4" w:space="0"/>
            </w:tcBorders>
            <w:vAlign w:val="center"/>
          </w:tcPr>
          <w:p>
            <w:pPr>
              <w:widowControl/>
              <w:jc w:val="left"/>
              <w:rPr>
                <w:rFonts w:ascii="Times New Roman" w:hAnsi="Times New Roman" w:cs="宋体"/>
                <w:kern w:val="0"/>
                <w:sz w:val="18"/>
                <w:szCs w:val="18"/>
              </w:rPr>
            </w:pPr>
            <w:r>
              <w:rPr>
                <w:rFonts w:hint="eastAsia" w:ascii="Times New Roman" w:hAnsi="Times New Roman" w:cs="宋体"/>
                <w:kern w:val="0"/>
                <w:sz w:val="18"/>
                <w:szCs w:val="18"/>
              </w:rPr>
              <w:t>根据竞投人针对该项目编写的维修保养方案，评审小组从项目实施工作计划、硬件设备维修维护、软件系统维护、屏体结构保养、故障类型分析及处理流程等方面对竞投人方案的清晰性、完整性、合理性、可行性进行综合评估，对方案的成熟性、可靠性、安全性、技术的先进性进行横向对比：优得20-16分；良得15-11分；中得10-6分；差得5-0分。</w:t>
            </w:r>
          </w:p>
        </w:tc>
      </w:tr>
      <w:tr>
        <w:trPr>
          <w:trHeight w:val="1228" w:hRule="atLeast"/>
          <w:jc w:val="center"/>
        </w:trPr>
        <w:tc>
          <w:tcPr>
            <w:tcW w:w="626" w:type="pct"/>
            <w:vMerge w:val="continue"/>
            <w:tcBorders>
              <w:top w:val="single" w:color="auto" w:sz="4" w:space="0"/>
              <w:left w:val="single" w:color="auto" w:sz="4" w:space="0"/>
              <w:right w:val="single" w:color="auto" w:sz="4" w:space="0"/>
            </w:tcBorders>
            <w:vAlign w:val="center"/>
          </w:tcPr>
          <w:p>
            <w:pPr>
              <w:ind w:firstLine="360"/>
              <w:jc w:val="center"/>
              <w:rPr>
                <w:rFonts w:ascii="Times New Roman" w:hAnsi="Times New Roman" w:cs="宋体"/>
                <w:kern w:val="0"/>
                <w:sz w:val="18"/>
                <w:szCs w:val="18"/>
              </w:rPr>
            </w:pPr>
          </w:p>
        </w:tc>
        <w:tc>
          <w:tcPr>
            <w:tcW w:w="874" w:type="pct"/>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18"/>
                <w:szCs w:val="18"/>
              </w:rPr>
            </w:pPr>
            <w:r>
              <w:rPr>
                <w:rFonts w:hint="eastAsia" w:ascii="宋体" w:hAnsi="宋体" w:cs="宋体"/>
                <w:kern w:val="0"/>
                <w:sz w:val="18"/>
                <w:szCs w:val="18"/>
              </w:rPr>
              <w:t>应急保障措施</w:t>
            </w:r>
          </w:p>
        </w:tc>
        <w:tc>
          <w:tcPr>
            <w:tcW w:w="39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kern w:val="0"/>
                <w:sz w:val="18"/>
                <w:szCs w:val="18"/>
              </w:rPr>
            </w:pPr>
            <w:r>
              <w:rPr>
                <w:rFonts w:hint="eastAsia" w:ascii="Times New Roman" w:hAnsi="Times New Roman" w:cs="宋体"/>
                <w:kern w:val="0"/>
                <w:sz w:val="18"/>
                <w:szCs w:val="18"/>
              </w:rPr>
              <w:t>15分</w:t>
            </w:r>
          </w:p>
        </w:tc>
        <w:tc>
          <w:tcPr>
            <w:tcW w:w="3103" w:type="pct"/>
            <w:tcBorders>
              <w:top w:val="nil"/>
              <w:left w:val="nil"/>
              <w:bottom w:val="single" w:color="auto" w:sz="4" w:space="0"/>
              <w:right w:val="single" w:color="auto" w:sz="4" w:space="0"/>
            </w:tcBorders>
            <w:vAlign w:val="center"/>
          </w:tcPr>
          <w:p>
            <w:pPr>
              <w:widowControl/>
              <w:jc w:val="left"/>
              <w:rPr>
                <w:rFonts w:ascii="Times New Roman" w:hAnsi="Times New Roman" w:cs="宋体"/>
                <w:kern w:val="0"/>
                <w:sz w:val="18"/>
                <w:szCs w:val="18"/>
              </w:rPr>
            </w:pPr>
            <w:r>
              <w:rPr>
                <w:rFonts w:hint="eastAsia" w:ascii="Times New Roman" w:hAnsi="Times New Roman" w:cs="宋体"/>
                <w:kern w:val="0"/>
                <w:sz w:val="18"/>
                <w:szCs w:val="18"/>
              </w:rPr>
              <w:t>根据竞投人针对该项目编写的应急保障措施，评审小组从应急保障工作计划、硬件设备应急保障、软件系统应急保障等方面对竞投人方案的清晰性、完整性、合理性、可行性进行综合评估，对方案的成熟性、可靠性、安全性、技术的先进性进行横向对比：优得15-12分；良得11-9分；中得8-5分；差得4-0分。</w:t>
            </w:r>
          </w:p>
        </w:tc>
      </w:tr>
      <w:tr>
        <w:trPr>
          <w:trHeight w:val="1120" w:hRule="atLeast"/>
          <w:jc w:val="center"/>
        </w:trPr>
        <w:tc>
          <w:tcPr>
            <w:tcW w:w="626" w:type="pct"/>
            <w:vMerge w:val="continue"/>
            <w:tcBorders>
              <w:left w:val="single" w:color="auto" w:sz="4" w:space="0"/>
              <w:bottom w:val="single" w:color="auto" w:sz="4" w:space="0"/>
              <w:right w:val="single" w:color="auto" w:sz="4" w:space="0"/>
            </w:tcBorders>
            <w:vAlign w:val="center"/>
          </w:tcPr>
          <w:p>
            <w:pPr>
              <w:widowControl/>
              <w:ind w:firstLine="360"/>
              <w:jc w:val="center"/>
              <w:rPr>
                <w:rFonts w:ascii="Times New Roman" w:hAnsi="Times New Roman" w:cs="宋体"/>
                <w:kern w:val="0"/>
                <w:sz w:val="18"/>
                <w:szCs w:val="18"/>
              </w:rPr>
            </w:pPr>
          </w:p>
        </w:tc>
        <w:tc>
          <w:tcPr>
            <w:tcW w:w="874" w:type="pct"/>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服务承诺  </w:t>
            </w:r>
          </w:p>
          <w:p>
            <w:pPr>
              <w:widowControl/>
              <w:jc w:val="center"/>
              <w:rPr>
                <w:rFonts w:ascii="Times New Roman" w:hAnsi="Times New Roman" w:cs="宋体"/>
                <w:kern w:val="0"/>
                <w:sz w:val="18"/>
                <w:szCs w:val="18"/>
              </w:rPr>
            </w:pPr>
            <w:r>
              <w:rPr>
                <w:rFonts w:hint="eastAsia" w:ascii="Times New Roman" w:hAnsi="Times New Roman" w:cs="宋体"/>
                <w:kern w:val="0"/>
                <w:sz w:val="18"/>
                <w:szCs w:val="18"/>
              </w:rPr>
              <w:t>（</w:t>
            </w:r>
            <w:r>
              <w:rPr>
                <w:rFonts w:hint="eastAsia" w:ascii="Times New Roman" w:hAnsi="Times New Roman" w:cs="宋体"/>
                <w:b/>
                <w:kern w:val="0"/>
                <w:sz w:val="18"/>
                <w:szCs w:val="18"/>
              </w:rPr>
              <w:t>竞投函中明确</w:t>
            </w:r>
            <w:r>
              <w:rPr>
                <w:rFonts w:hint="eastAsia" w:ascii="Times New Roman" w:hAnsi="Times New Roman" w:cs="宋体"/>
                <w:kern w:val="0"/>
                <w:sz w:val="18"/>
                <w:szCs w:val="18"/>
              </w:rPr>
              <w:t>）</w:t>
            </w:r>
          </w:p>
        </w:tc>
        <w:tc>
          <w:tcPr>
            <w:tcW w:w="39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5分</w:t>
            </w:r>
          </w:p>
        </w:tc>
        <w:tc>
          <w:tcPr>
            <w:tcW w:w="3103" w:type="pct"/>
            <w:tcBorders>
              <w:top w:val="nil"/>
              <w:left w:val="nil"/>
              <w:bottom w:val="single" w:color="auto" w:sz="4" w:space="0"/>
              <w:right w:val="single" w:color="auto" w:sz="4" w:space="0"/>
            </w:tcBorders>
            <w:vAlign w:val="center"/>
          </w:tcPr>
          <w:p>
            <w:pPr>
              <w:widowControl/>
              <w:jc w:val="left"/>
              <w:rPr>
                <w:rFonts w:ascii="Times New Roman" w:hAnsi="Times New Roman" w:cs="宋体"/>
                <w:kern w:val="0"/>
                <w:sz w:val="18"/>
                <w:szCs w:val="18"/>
              </w:rPr>
            </w:pPr>
            <w:r>
              <w:rPr>
                <w:rFonts w:hint="eastAsia" w:ascii="Times New Roman" w:hAnsi="Times New Roman" w:cs="宋体"/>
                <w:kern w:val="0"/>
                <w:sz w:val="18"/>
                <w:szCs w:val="18"/>
              </w:rPr>
              <w:t>1、不论何种原因出现故障，接招选人故障维修通知后，必需在2小时内到现场。若竞投人承诺故障最长修复时间为3小时得3分，若竞投人承诺故障最长修复时间为5小时得1分，若竞投人承诺超过5小时修复故障则本项不得分。</w:t>
            </w:r>
          </w:p>
          <w:p>
            <w:pPr>
              <w:widowControl/>
              <w:jc w:val="left"/>
              <w:rPr>
                <w:rFonts w:ascii="Times New Roman" w:hAnsi="Times New Roman" w:cs="宋体"/>
                <w:kern w:val="0"/>
                <w:sz w:val="18"/>
                <w:szCs w:val="18"/>
              </w:rPr>
            </w:pPr>
            <w:r>
              <w:rPr>
                <w:rFonts w:hint="eastAsia" w:ascii="Times New Roman" w:hAnsi="Times New Roman" w:cs="宋体"/>
                <w:kern w:val="0"/>
                <w:sz w:val="18"/>
                <w:szCs w:val="18"/>
              </w:rPr>
              <w:t>2、若竞投人承诺每月现场巡检2次得2分。无承诺不得分。</w:t>
            </w:r>
          </w:p>
        </w:tc>
      </w:tr>
      <w:tr>
        <w:tblPrEx>
          <w:tblCellMar>
            <w:top w:w="0" w:type="dxa"/>
            <w:left w:w="108" w:type="dxa"/>
            <w:bottom w:w="0" w:type="dxa"/>
            <w:right w:w="108" w:type="dxa"/>
          </w:tblCellMar>
        </w:tblPrEx>
        <w:trPr>
          <w:trHeight w:val="1384" w:hRule="atLeast"/>
          <w:jc w:val="center"/>
        </w:trPr>
        <w:tc>
          <w:tcPr>
            <w:tcW w:w="1501" w:type="pct"/>
            <w:gridSpan w:val="2"/>
            <w:tcBorders>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 xml:space="preserve">价格部分                </w:t>
            </w:r>
          </w:p>
        </w:tc>
        <w:tc>
          <w:tcPr>
            <w:tcW w:w="395" w:type="pct"/>
            <w:tcBorders>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50分</w:t>
            </w:r>
          </w:p>
        </w:tc>
        <w:tc>
          <w:tcPr>
            <w:tcW w:w="3103" w:type="pct"/>
            <w:tcBorders>
              <w:top w:val="nil"/>
              <w:left w:val="nil"/>
              <w:bottom w:val="single" w:color="auto" w:sz="4" w:space="0"/>
              <w:right w:val="single" w:color="auto" w:sz="4" w:space="0"/>
            </w:tcBorders>
            <w:vAlign w:val="center"/>
          </w:tcPr>
          <w:p>
            <w:pPr>
              <w:widowControl/>
              <w:jc w:val="left"/>
              <w:rPr>
                <w:rFonts w:ascii="宋体" w:hAnsi="宋体"/>
                <w:sz w:val="24"/>
                <w:szCs w:val="24"/>
              </w:rPr>
            </w:pPr>
            <w:r>
              <w:rPr>
                <w:rFonts w:hint="eastAsia" w:ascii="Times New Roman" w:hAnsi="Times New Roman" w:cs="宋体"/>
                <w:kern w:val="0"/>
                <w:sz w:val="18"/>
                <w:szCs w:val="18"/>
              </w:rPr>
              <w:t>通过本项目资格及符合性审查且竞投报价不高于最高限价为有效报价。取全部有效报价的不含税报价计算平均值，该平均值为基准价。不含税报价等于或最接近基准价得50分；不含税报价高于或低于基准价，按（︱不含税报价-基准价︳）/基准价×50分进行扣分，精确到小数点后两位，扣至0分为止。</w:t>
            </w:r>
          </w:p>
        </w:tc>
      </w:tr>
      <w:tr>
        <w:tblPrEx>
          <w:tblCellMar>
            <w:top w:w="0" w:type="dxa"/>
            <w:left w:w="108" w:type="dxa"/>
            <w:bottom w:w="0" w:type="dxa"/>
            <w:right w:w="108" w:type="dxa"/>
          </w:tblCellMar>
        </w:tblPrEx>
        <w:trPr>
          <w:trHeight w:val="780" w:hRule="atLeast"/>
          <w:jc w:val="center"/>
        </w:trPr>
        <w:tc>
          <w:tcPr>
            <w:tcW w:w="1896"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18"/>
                <w:szCs w:val="18"/>
              </w:rPr>
            </w:pPr>
            <w:r>
              <w:rPr>
                <w:rFonts w:hint="eastAsia" w:ascii="Times New Roman" w:hAnsi="Times New Roman" w:cs="宋体"/>
                <w:bCs/>
                <w:kern w:val="0"/>
                <w:sz w:val="18"/>
                <w:szCs w:val="18"/>
              </w:rPr>
              <w:t>综合评分</w:t>
            </w:r>
          </w:p>
        </w:tc>
        <w:tc>
          <w:tcPr>
            <w:tcW w:w="3103" w:type="pct"/>
            <w:tcBorders>
              <w:top w:val="nil"/>
              <w:left w:val="nil"/>
              <w:bottom w:val="single" w:color="auto" w:sz="4" w:space="0"/>
              <w:right w:val="single" w:color="auto" w:sz="4" w:space="0"/>
            </w:tcBorders>
            <w:vAlign w:val="center"/>
          </w:tcPr>
          <w:p>
            <w:pPr>
              <w:widowControl/>
              <w:ind w:firstLine="360"/>
              <w:jc w:val="left"/>
              <w:rPr>
                <w:rFonts w:ascii="Times New Roman" w:hAnsi="Times New Roman" w:cs="宋体"/>
                <w:kern w:val="0"/>
                <w:sz w:val="18"/>
                <w:szCs w:val="18"/>
              </w:rPr>
            </w:pPr>
            <w:r>
              <w:rPr>
                <w:rFonts w:hint="eastAsia" w:ascii="Times New Roman" w:hAnsi="Times New Roman" w:cs="宋体"/>
                <w:kern w:val="0"/>
                <w:sz w:val="18"/>
                <w:szCs w:val="18"/>
              </w:rPr>
              <w:t>　</w:t>
            </w:r>
          </w:p>
        </w:tc>
      </w:tr>
    </w:tbl>
    <w:p>
      <w:pPr>
        <w:ind w:firstLine="560"/>
        <w:rPr>
          <w:rFonts w:ascii="Times New Roman" w:hAnsi="Times New Roman" w:cs="仿宋_GB2312"/>
          <w:sz w:val="24"/>
        </w:rPr>
      </w:pPr>
      <w:r>
        <w:rPr>
          <w:rFonts w:ascii="宋体" w:hAnsi="宋体"/>
        </w:rPr>
        <w:br w:type="textWrapping"/>
      </w:r>
      <w:r>
        <w:rPr>
          <w:rFonts w:hint="eastAsia" w:ascii="Times New Roman" w:hAnsi="Times New Roman" w:cs="仿宋_GB2312"/>
          <w:sz w:val="24"/>
          <w:szCs w:val="24"/>
        </w:rPr>
        <w:t>评审人（签名）：                                       日期：</w:t>
      </w:r>
    </w:p>
    <w:p>
      <w:pPr>
        <w:widowControl/>
        <w:ind w:firstLine="560"/>
        <w:jc w:val="left"/>
        <w:rPr>
          <w:rFonts w:ascii="宋体" w:hAnsi="宋体"/>
        </w:rPr>
      </w:pPr>
    </w:p>
    <w:p>
      <w:pPr>
        <w:widowControl/>
        <w:ind w:firstLine="560"/>
        <w:jc w:val="left"/>
        <w:rPr>
          <w:rFonts w:ascii="宋体" w:hAnsi="宋体"/>
        </w:rPr>
      </w:pPr>
      <w:r>
        <w:rPr>
          <w:rFonts w:ascii="宋体" w:hAnsi="宋体"/>
        </w:rPr>
        <w:br w:type="page"/>
      </w:r>
    </w:p>
    <w:p>
      <w:pPr>
        <w:jc w:val="left"/>
        <w:rPr>
          <w:rFonts w:ascii="宋体" w:hAnsi="宋体"/>
          <w:b/>
          <w:sz w:val="30"/>
          <w:szCs w:val="30"/>
        </w:rPr>
      </w:pPr>
      <w:r>
        <w:rPr>
          <w:rFonts w:hint="eastAsia" w:ascii="宋体" w:hAnsi="宋体"/>
          <w:b/>
          <w:sz w:val="30"/>
          <w:szCs w:val="30"/>
        </w:rPr>
        <w:t>附表三</w:t>
      </w:r>
    </w:p>
    <w:p>
      <w:pPr>
        <w:spacing w:line="360" w:lineRule="auto"/>
        <w:jc w:val="center"/>
        <w:rPr>
          <w:rFonts w:ascii="宋体" w:hAnsi="宋体"/>
          <w:b/>
          <w:sz w:val="30"/>
          <w:szCs w:val="30"/>
        </w:rPr>
      </w:pPr>
      <w:r>
        <w:rPr>
          <w:rFonts w:hint="eastAsia" w:ascii="宋体" w:hAnsi="宋体"/>
          <w:b/>
          <w:sz w:val="30"/>
          <w:szCs w:val="30"/>
        </w:rPr>
        <w:t>综合评分汇总表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2312"/>
        <w:gridCol w:w="2410"/>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220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s="仿宋_GB2312"/>
                <w:sz w:val="24"/>
                <w:szCs w:val="24"/>
              </w:rPr>
            </w:pPr>
            <w:r>
              <w:rPr>
                <w:rFonts w:hint="eastAsia" w:ascii="Times New Roman" w:hAnsi="Times New Roman" w:cs="仿宋_GB2312"/>
                <w:sz w:val="24"/>
                <w:szCs w:val="24"/>
              </w:rPr>
              <w:t>评审</w:t>
            </w:r>
          </w:p>
          <w:p>
            <w:pPr>
              <w:jc w:val="center"/>
              <w:rPr>
                <w:rFonts w:ascii="Times New Roman" w:hAnsi="Times New Roman" w:cs="仿宋_GB2312"/>
                <w:sz w:val="24"/>
                <w:szCs w:val="24"/>
              </w:rPr>
            </w:pPr>
            <w:r>
              <w:rPr>
                <w:rFonts w:hint="eastAsia" w:ascii="Times New Roman" w:hAnsi="Times New Roman" w:cs="仿宋_GB2312"/>
                <w:sz w:val="24"/>
                <w:szCs w:val="24"/>
              </w:rPr>
              <w:t>分项</w:t>
            </w:r>
          </w:p>
        </w:tc>
        <w:tc>
          <w:tcPr>
            <w:tcW w:w="719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仿宋_GB2312"/>
                <w:sz w:val="24"/>
                <w:szCs w:val="24"/>
              </w:rPr>
            </w:pPr>
            <w:r>
              <w:rPr>
                <w:rFonts w:hint="eastAsia" w:ascii="Times New Roman" w:hAnsi="Times New Roman" w:cs="仿宋_GB2312"/>
                <w:sz w:val="24"/>
                <w:szCs w:val="24"/>
              </w:rPr>
              <w:t>竞投单位名称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2200" w:type="dxa"/>
            <w:vMerge w:val="continue"/>
            <w:tcBorders>
              <w:left w:val="single" w:color="auto" w:sz="4" w:space="0"/>
              <w:bottom w:val="single" w:color="auto" w:sz="4" w:space="0"/>
              <w:right w:val="single" w:color="auto" w:sz="4" w:space="0"/>
            </w:tcBorders>
            <w:vAlign w:val="center"/>
          </w:tcPr>
          <w:p>
            <w:pPr>
              <w:ind w:firstLine="480"/>
              <w:rPr>
                <w:rFonts w:ascii="Times New Roman" w:hAnsi="Times New Roman"/>
                <w:sz w:val="24"/>
                <w:szCs w:val="24"/>
              </w:rPr>
            </w:pPr>
          </w:p>
        </w:tc>
        <w:tc>
          <w:tcPr>
            <w:tcW w:w="2312"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cs="仿宋_GB2312"/>
                <w:bCs/>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cs="仿宋_GB2312"/>
                <w:bCs/>
                <w:sz w:val="24"/>
                <w:szCs w:val="24"/>
              </w:rPr>
            </w:pPr>
          </w:p>
        </w:tc>
        <w:tc>
          <w:tcPr>
            <w:tcW w:w="2469"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0" w:hRule="atLeast"/>
          <w:jc w:val="center"/>
        </w:trPr>
        <w:tc>
          <w:tcPr>
            <w:tcW w:w="22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kern w:val="0"/>
                <w:sz w:val="24"/>
                <w:szCs w:val="24"/>
              </w:rPr>
            </w:pPr>
            <w:r>
              <w:rPr>
                <w:rFonts w:hint="eastAsia" w:ascii="Times New Roman" w:hAnsi="Times New Roman" w:cs="宋体"/>
                <w:kern w:val="0"/>
                <w:sz w:val="24"/>
                <w:szCs w:val="24"/>
              </w:rPr>
              <w:t>综合评分</w:t>
            </w:r>
          </w:p>
        </w:tc>
        <w:tc>
          <w:tcPr>
            <w:tcW w:w="2312"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cs="宋体"/>
                <w:kern w:val="0"/>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cs="宋体"/>
                <w:kern w:val="0"/>
                <w:sz w:val="24"/>
                <w:szCs w:val="24"/>
              </w:rPr>
            </w:pPr>
          </w:p>
        </w:tc>
        <w:tc>
          <w:tcPr>
            <w:tcW w:w="2469"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cs="宋体"/>
                <w:kern w:val="0"/>
                <w:sz w:val="24"/>
                <w:szCs w:val="24"/>
              </w:rPr>
            </w:pPr>
          </w:p>
        </w:tc>
      </w:tr>
    </w:tbl>
    <w:p>
      <w:pPr>
        <w:ind w:firstLine="560"/>
        <w:rPr>
          <w:rFonts w:ascii="Times New Roman" w:hAnsi="Times New Roman"/>
        </w:rPr>
      </w:pPr>
    </w:p>
    <w:p>
      <w:pPr>
        <w:ind w:firstLine="480"/>
        <w:rPr>
          <w:rFonts w:ascii="Times New Roman" w:hAnsi="Times New Roman" w:cs="仿宋_GB2312"/>
          <w:sz w:val="24"/>
        </w:rPr>
      </w:pPr>
    </w:p>
    <w:p>
      <w:pPr>
        <w:widowControl/>
        <w:ind w:firstLine="480"/>
        <w:jc w:val="left"/>
        <w:rPr>
          <w:rFonts w:ascii="宋体" w:hAnsi="宋体"/>
        </w:rPr>
        <w:sectPr>
          <w:footerReference r:id="rId4" w:type="first"/>
          <w:footerReference r:id="rId3" w:type="default"/>
          <w:pgSz w:w="11906" w:h="16838"/>
          <w:pgMar w:top="1134" w:right="1349" w:bottom="1134" w:left="1418" w:header="851" w:footer="992" w:gutter="227"/>
          <w:cols w:space="720" w:num="1"/>
          <w:titlePg/>
          <w:docGrid w:type="lines" w:linePitch="312" w:charSpace="0"/>
        </w:sectPr>
      </w:pPr>
      <w:r>
        <w:rPr>
          <w:rFonts w:hint="eastAsia" w:ascii="Times New Roman" w:hAnsi="Times New Roman" w:cs="仿宋_GB2312"/>
          <w:sz w:val="24"/>
          <w:szCs w:val="24"/>
        </w:rPr>
        <w:t>评审人（签名）：                                 日期：</w:t>
      </w:r>
    </w:p>
    <w:p>
      <w:pPr>
        <w:pStyle w:val="2"/>
      </w:pPr>
      <w:bookmarkStart w:id="119" w:name="_Toc24378773"/>
      <w:bookmarkStart w:id="120" w:name="_Toc427828611"/>
      <w:bookmarkStart w:id="121" w:name="_Toc427828561"/>
      <w:r>
        <w:rPr>
          <w:rFonts w:hint="eastAsia"/>
        </w:rPr>
        <w:t>第三部分 竞投文件格式</w:t>
      </w:r>
      <w:bookmarkEnd w:id="119"/>
      <w:bookmarkEnd w:id="120"/>
      <w:bookmarkEnd w:id="121"/>
    </w:p>
    <w:p>
      <w:pPr>
        <w:rPr>
          <w:rFonts w:ascii="宋体" w:hAnsi="宋体"/>
          <w:b/>
          <w:sz w:val="30"/>
          <w:szCs w:val="30"/>
        </w:rPr>
      </w:pPr>
      <w:r>
        <w:rPr>
          <w:rFonts w:hint="eastAsia" w:ascii="宋体" w:hAnsi="宋体"/>
          <w:b/>
          <w:sz w:val="30"/>
          <w:szCs w:val="30"/>
        </w:rPr>
        <w:t xml:space="preserve">格式1 </w:t>
      </w:r>
    </w:p>
    <w:p>
      <w:pPr>
        <w:jc w:val="center"/>
        <w:rPr>
          <w:b/>
          <w:sz w:val="28"/>
          <w:szCs w:val="28"/>
        </w:rPr>
      </w:pPr>
      <w:bookmarkStart w:id="122" w:name="_Toc427828613"/>
      <w:bookmarkStart w:id="123" w:name="_Toc428434858"/>
      <w:bookmarkStart w:id="124" w:name="_Toc427828563"/>
      <w:r>
        <w:rPr>
          <w:rFonts w:hint="eastAsia"/>
          <w:b/>
          <w:sz w:val="28"/>
          <w:szCs w:val="28"/>
        </w:rPr>
        <w:t>竞投函</w:t>
      </w:r>
      <w:bookmarkEnd w:id="75"/>
      <w:bookmarkEnd w:id="122"/>
      <w:bookmarkEnd w:id="123"/>
      <w:bookmarkEnd w:id="124"/>
    </w:p>
    <w:p>
      <w:pPr>
        <w:ind w:firstLine="560"/>
        <w:rPr>
          <w:rFonts w:ascii="Times New Roman" w:hAnsi="Times New Roman"/>
        </w:rPr>
      </w:pPr>
    </w:p>
    <w:p>
      <w:pPr>
        <w:rPr>
          <w:rFonts w:ascii="宋体" w:hAnsi="宋体"/>
          <w:bCs/>
          <w:sz w:val="24"/>
        </w:rPr>
      </w:pPr>
      <w:r>
        <w:rPr>
          <w:rFonts w:hint="eastAsia" w:ascii="宋体" w:hAnsi="宋体"/>
          <w:bCs/>
          <w:sz w:val="24"/>
          <w:szCs w:val="24"/>
        </w:rPr>
        <w:t>致:</w:t>
      </w:r>
      <w:r>
        <w:rPr>
          <w:rFonts w:hint="eastAsia" w:ascii="宋体" w:hAnsi="宋体" w:cs="宋体"/>
          <w:bCs/>
          <w:kern w:val="0"/>
          <w:sz w:val="24"/>
          <w:szCs w:val="24"/>
        </w:rPr>
        <w:t xml:space="preserve"> 广州市城投资产经营管理有限公司珠江新城分公司</w:t>
      </w:r>
      <w:r>
        <w:rPr>
          <w:rFonts w:hint="eastAsia" w:ascii="宋体" w:hAnsi="宋体" w:cs="黑体"/>
          <w:sz w:val="24"/>
          <w:szCs w:val="24"/>
        </w:rPr>
        <w:tab/>
      </w:r>
    </w:p>
    <w:p>
      <w:pPr>
        <w:spacing w:line="440" w:lineRule="exact"/>
        <w:ind w:firstLine="480" w:firstLineChars="200"/>
        <w:rPr>
          <w:rFonts w:ascii="宋体" w:hAnsi="宋体"/>
          <w:sz w:val="24"/>
        </w:rPr>
      </w:pPr>
      <w:r>
        <w:rPr>
          <w:rFonts w:hint="eastAsia" w:ascii="宋体" w:hAnsi="宋体"/>
          <w:sz w:val="24"/>
          <w:szCs w:val="24"/>
        </w:rPr>
        <w:t>根据你</w:t>
      </w:r>
      <w:r>
        <w:rPr>
          <w:rFonts w:hint="eastAsia" w:ascii="宋体" w:hAnsi="宋体"/>
          <w:color w:val="auto"/>
          <w:sz w:val="24"/>
          <w:szCs w:val="24"/>
        </w:rPr>
        <w:t>方</w:t>
      </w:r>
      <w:r>
        <w:rPr>
          <w:rFonts w:hint="eastAsia" w:ascii="Times New Roman" w:hAnsi="Times New Roman"/>
          <w:color w:val="auto"/>
          <w:sz w:val="24"/>
          <w:szCs w:val="24"/>
          <w:u w:val="single"/>
        </w:rPr>
        <w:t>花城汇商业区LED屏2023年度维修保养服务采购项目</w:t>
      </w:r>
      <w:r>
        <w:rPr>
          <w:rFonts w:hint="eastAsia" w:ascii="宋体" w:hAnsi="宋体"/>
          <w:color w:val="auto"/>
          <w:sz w:val="24"/>
          <w:szCs w:val="24"/>
        </w:rPr>
        <w:t>的竞选</w:t>
      </w:r>
      <w:r>
        <w:rPr>
          <w:rFonts w:hint="eastAsia" w:ascii="宋体" w:hAnsi="宋体"/>
          <w:sz w:val="24"/>
          <w:szCs w:val="24"/>
        </w:rPr>
        <w:t>文件要求，我方在此声明并同意：</w:t>
      </w:r>
    </w:p>
    <w:p>
      <w:pPr>
        <w:numPr>
          <w:ilvl w:val="0"/>
          <w:numId w:val="23"/>
        </w:numPr>
        <w:tabs>
          <w:tab w:val="left" w:pos="993"/>
        </w:tabs>
        <w:spacing w:line="440" w:lineRule="exact"/>
        <w:ind w:left="0" w:firstLine="480"/>
        <w:rPr>
          <w:rFonts w:ascii="宋体" w:hAnsi="宋体"/>
          <w:sz w:val="24"/>
        </w:rPr>
      </w:pPr>
      <w:r>
        <w:rPr>
          <w:rFonts w:hint="eastAsia" w:ascii="宋体" w:hAnsi="宋体"/>
          <w:sz w:val="24"/>
        </w:rPr>
        <w:t>我方愿意遵守竞选文件的各项规定，按竞选文件的要求提供报价。</w:t>
      </w:r>
    </w:p>
    <w:p>
      <w:pPr>
        <w:numPr>
          <w:ilvl w:val="0"/>
          <w:numId w:val="23"/>
        </w:numPr>
        <w:tabs>
          <w:tab w:val="left" w:pos="993"/>
        </w:tabs>
        <w:spacing w:line="440" w:lineRule="exact"/>
        <w:ind w:left="0" w:firstLine="480"/>
        <w:rPr>
          <w:rFonts w:ascii="宋体" w:hAnsi="宋体"/>
          <w:sz w:val="24"/>
        </w:rPr>
      </w:pPr>
      <w:r>
        <w:rPr>
          <w:rFonts w:hint="eastAsia" w:ascii="宋体" w:hAnsi="宋体"/>
          <w:sz w:val="24"/>
        </w:rPr>
        <w:t>我方已经详细地阅读了全部竞选文件及附件，包括澄清及参考文件（如果有的话），我方完全清晰理解竞选文件的要求，不存在任何含糊不清和误解之处，同意放弃对这些文件提出异议和质疑的权利。</w:t>
      </w:r>
    </w:p>
    <w:p>
      <w:pPr>
        <w:numPr>
          <w:ilvl w:val="0"/>
          <w:numId w:val="23"/>
        </w:numPr>
        <w:tabs>
          <w:tab w:val="left" w:pos="993"/>
        </w:tabs>
        <w:spacing w:line="440" w:lineRule="exact"/>
        <w:ind w:left="0" w:firstLine="480"/>
        <w:rPr>
          <w:rFonts w:ascii="宋体" w:hAnsi="宋体"/>
          <w:sz w:val="24"/>
        </w:rPr>
      </w:pPr>
      <w:r>
        <w:rPr>
          <w:rFonts w:hint="eastAsia" w:ascii="宋体" w:hAnsi="宋体"/>
          <w:sz w:val="24"/>
        </w:rPr>
        <w:t>我方完全接受本竞选文件中关于竞投的规定，并同意放弃对这规定提出异议和质疑的权利。</w:t>
      </w:r>
    </w:p>
    <w:p>
      <w:pPr>
        <w:numPr>
          <w:ilvl w:val="0"/>
          <w:numId w:val="23"/>
        </w:numPr>
        <w:tabs>
          <w:tab w:val="left" w:pos="993"/>
        </w:tabs>
        <w:spacing w:line="440" w:lineRule="exact"/>
        <w:ind w:left="0" w:firstLine="480"/>
        <w:rPr>
          <w:rFonts w:ascii="宋体" w:hAnsi="宋体"/>
          <w:sz w:val="24"/>
        </w:rPr>
      </w:pPr>
      <w:r>
        <w:rPr>
          <w:rFonts w:hint="eastAsia" w:ascii="宋体" w:hAnsi="宋体"/>
          <w:sz w:val="24"/>
        </w:rPr>
        <w:t>我方同意提供竞选文件要求的有关竞投的其它资料。</w:t>
      </w:r>
    </w:p>
    <w:p>
      <w:pPr>
        <w:numPr>
          <w:ilvl w:val="0"/>
          <w:numId w:val="23"/>
        </w:numPr>
        <w:tabs>
          <w:tab w:val="left" w:pos="993"/>
        </w:tabs>
        <w:spacing w:line="440" w:lineRule="exact"/>
        <w:ind w:left="0" w:firstLine="480"/>
        <w:rPr>
          <w:rFonts w:ascii="宋体" w:hAnsi="宋体"/>
          <w:sz w:val="24"/>
        </w:rPr>
      </w:pPr>
      <w:r>
        <w:rPr>
          <w:rFonts w:hint="eastAsia" w:ascii="宋体" w:hAnsi="宋体"/>
          <w:sz w:val="24"/>
        </w:rPr>
        <w:t>我方承诺在本次竞投中提供的一切文件，无论是原件或是复印件均为真实和准确的，绝无任何虚假、伪造和夸大的成份。否则，我方愿意承担相应的后果和法律责任。</w:t>
      </w:r>
    </w:p>
    <w:p>
      <w:pPr>
        <w:numPr>
          <w:ilvl w:val="0"/>
          <w:numId w:val="23"/>
        </w:numPr>
        <w:tabs>
          <w:tab w:val="left" w:pos="993"/>
        </w:tabs>
        <w:spacing w:line="440" w:lineRule="exact"/>
        <w:ind w:left="0" w:firstLine="480"/>
        <w:rPr>
          <w:rFonts w:ascii="宋体" w:hAnsi="宋体"/>
          <w:sz w:val="24"/>
        </w:rPr>
      </w:pPr>
      <w:r>
        <w:rPr>
          <w:rFonts w:hint="eastAsia" w:ascii="宋体" w:hAnsi="宋体"/>
          <w:sz w:val="24"/>
        </w:rPr>
        <w:t>我方完全理解，招选人并无义务必须接受最低报价的竞投或其它任何竞投。</w:t>
      </w:r>
    </w:p>
    <w:p>
      <w:pPr>
        <w:numPr>
          <w:ilvl w:val="0"/>
          <w:numId w:val="23"/>
        </w:numPr>
        <w:tabs>
          <w:tab w:val="left" w:pos="993"/>
        </w:tabs>
        <w:spacing w:line="440" w:lineRule="exact"/>
        <w:ind w:left="0" w:firstLine="480"/>
        <w:rPr>
          <w:rFonts w:ascii="宋体" w:hAnsi="宋体"/>
          <w:sz w:val="24"/>
        </w:rPr>
      </w:pPr>
      <w:r>
        <w:rPr>
          <w:rFonts w:hint="eastAsia" w:ascii="宋体" w:hAnsi="宋体"/>
          <w:sz w:val="24"/>
        </w:rPr>
        <w:t>我方的竞投被接受，我方同意按照竞选文件相关规定签署合同。</w:t>
      </w:r>
    </w:p>
    <w:p>
      <w:pPr>
        <w:numPr>
          <w:ilvl w:val="0"/>
          <w:numId w:val="23"/>
        </w:numPr>
        <w:tabs>
          <w:tab w:val="left" w:pos="993"/>
        </w:tabs>
        <w:spacing w:line="440" w:lineRule="exact"/>
        <w:ind w:left="0" w:firstLine="480"/>
        <w:rPr>
          <w:rFonts w:ascii="宋体" w:hAnsi="宋体"/>
          <w:sz w:val="24"/>
        </w:rPr>
      </w:pPr>
      <w:r>
        <w:rPr>
          <w:rFonts w:hint="eastAsia" w:ascii="宋体" w:hAnsi="宋体"/>
          <w:sz w:val="24"/>
        </w:rPr>
        <w:t>我方</w:t>
      </w:r>
      <w:r>
        <w:rPr>
          <w:rFonts w:ascii="宋体" w:hAnsi="宋体"/>
          <w:sz w:val="24"/>
        </w:rPr>
        <w:t>承诺，</w:t>
      </w:r>
      <w:r>
        <w:rPr>
          <w:rFonts w:hint="eastAsia" w:ascii="宋体" w:hAnsi="宋体"/>
          <w:sz w:val="24"/>
        </w:rPr>
        <w:t>签订</w:t>
      </w:r>
      <w:r>
        <w:rPr>
          <w:rFonts w:ascii="宋体" w:hAnsi="宋体"/>
          <w:sz w:val="24"/>
        </w:rPr>
        <w:t>合同后接到</w:t>
      </w:r>
      <w:r>
        <w:rPr>
          <w:rFonts w:hint="eastAsia" w:ascii="宋体" w:hAnsi="宋体"/>
          <w:sz w:val="24"/>
        </w:rPr>
        <w:t>招选人</w:t>
      </w:r>
      <w:r>
        <w:rPr>
          <w:rFonts w:ascii="宋体" w:hAnsi="宋体"/>
          <w:sz w:val="24"/>
        </w:rPr>
        <w:t>故障维修通知</w:t>
      </w:r>
      <w:r>
        <w:rPr>
          <w:rFonts w:hint="eastAsia" w:ascii="宋体" w:hAnsi="宋体"/>
          <w:sz w:val="24"/>
        </w:rPr>
        <w:t>，</w:t>
      </w:r>
      <w:r>
        <w:rPr>
          <w:rFonts w:ascii="宋体" w:hAnsi="宋体"/>
          <w:sz w:val="24"/>
        </w:rPr>
        <w:t>维修人员在</w:t>
      </w:r>
      <w:r>
        <w:rPr>
          <w:rFonts w:hint="eastAsia" w:ascii="宋体" w:hAnsi="宋体"/>
          <w:sz w:val="24"/>
        </w:rPr>
        <w:t>2小时内到达故障LED屏现场，承诺故障最长修复时间（   ）小时内</w:t>
      </w:r>
      <w:r>
        <w:rPr>
          <w:rFonts w:ascii="宋体" w:hAnsi="宋体"/>
          <w:sz w:val="24"/>
        </w:rPr>
        <w:t>完成</w:t>
      </w:r>
      <w:r>
        <w:rPr>
          <w:rFonts w:hint="eastAsia" w:ascii="宋体" w:hAnsi="宋体"/>
          <w:sz w:val="24"/>
        </w:rPr>
        <w:t>。</w:t>
      </w:r>
    </w:p>
    <w:p>
      <w:pPr>
        <w:numPr>
          <w:ilvl w:val="0"/>
          <w:numId w:val="23"/>
        </w:numPr>
        <w:tabs>
          <w:tab w:val="left" w:pos="993"/>
        </w:tabs>
        <w:spacing w:line="440" w:lineRule="exact"/>
        <w:ind w:left="0" w:firstLine="480"/>
        <w:rPr>
          <w:rFonts w:ascii="宋体" w:hAnsi="宋体"/>
          <w:sz w:val="24"/>
        </w:rPr>
      </w:pPr>
      <w:r>
        <w:rPr>
          <w:rFonts w:hint="eastAsia" w:ascii="宋体" w:hAnsi="宋体"/>
          <w:sz w:val="24"/>
        </w:rPr>
        <w:t>我方</w:t>
      </w:r>
      <w:r>
        <w:rPr>
          <w:rFonts w:ascii="宋体" w:hAnsi="宋体"/>
          <w:sz w:val="24"/>
        </w:rPr>
        <w:t>承诺，每</w:t>
      </w:r>
      <w:r>
        <w:rPr>
          <w:rFonts w:hint="eastAsia" w:ascii="宋体" w:hAnsi="宋体"/>
          <w:sz w:val="24"/>
        </w:rPr>
        <w:t>个月</w:t>
      </w:r>
      <w:r>
        <w:rPr>
          <w:rFonts w:ascii="宋体" w:hAnsi="宋体"/>
          <w:sz w:val="24"/>
        </w:rPr>
        <w:t>现场巡检</w:t>
      </w:r>
      <w:r>
        <w:rPr>
          <w:rFonts w:hint="eastAsia" w:ascii="宋体" w:hAnsi="宋体"/>
          <w:sz w:val="24"/>
        </w:rPr>
        <w:t>（    ）次，重要活动派技术人员到现场提供全过程保障。</w:t>
      </w:r>
    </w:p>
    <w:p>
      <w:pPr>
        <w:spacing w:line="360" w:lineRule="auto"/>
        <w:ind w:firstLine="480"/>
        <w:rPr>
          <w:rFonts w:ascii="宋体" w:hAnsi="宋体"/>
          <w:bCs/>
          <w:sz w:val="24"/>
        </w:rPr>
      </w:pPr>
    </w:p>
    <w:p>
      <w:pPr>
        <w:ind w:firstLine="480"/>
        <w:rPr>
          <w:rFonts w:ascii="宋体" w:hAnsi="宋体"/>
          <w:bCs/>
          <w:sz w:val="24"/>
        </w:rPr>
      </w:pPr>
    </w:p>
    <w:p>
      <w:pPr>
        <w:ind w:firstLine="480"/>
        <w:rPr>
          <w:rFonts w:ascii="宋体" w:hAnsi="宋体"/>
          <w:bCs/>
          <w:sz w:val="24"/>
        </w:rPr>
      </w:pPr>
      <w:r>
        <w:rPr>
          <w:rFonts w:hint="eastAsia" w:ascii="宋体" w:hAnsi="宋体"/>
          <w:bCs/>
          <w:sz w:val="24"/>
          <w:szCs w:val="24"/>
        </w:rPr>
        <w:t>竞投人全称（加盖公章）:</w:t>
      </w:r>
    </w:p>
    <w:p>
      <w:pPr>
        <w:ind w:firstLine="480"/>
        <w:rPr>
          <w:rFonts w:ascii="宋体" w:hAnsi="宋体"/>
          <w:bCs/>
          <w:sz w:val="24"/>
        </w:rPr>
      </w:pPr>
    </w:p>
    <w:p>
      <w:pPr>
        <w:tabs>
          <w:tab w:val="left" w:pos="3600"/>
        </w:tabs>
        <w:ind w:firstLine="480"/>
        <w:rPr>
          <w:rFonts w:ascii="宋体" w:hAnsi="宋体"/>
          <w:bCs/>
          <w:sz w:val="24"/>
        </w:rPr>
      </w:pPr>
      <w:r>
        <w:rPr>
          <w:rFonts w:hint="eastAsia" w:ascii="宋体" w:hAnsi="宋体"/>
          <w:bCs/>
          <w:sz w:val="24"/>
          <w:szCs w:val="24"/>
        </w:rPr>
        <w:t>法定代表人或其竞投人授权代表(</w:t>
      </w:r>
      <w:r>
        <w:rPr>
          <w:rFonts w:hint="eastAsia" w:ascii="宋体" w:hAnsi="宋体"/>
          <w:sz w:val="24"/>
          <w:szCs w:val="24"/>
        </w:rPr>
        <w:t>签字</w:t>
      </w:r>
      <w:r>
        <w:rPr>
          <w:rFonts w:hint="eastAsia" w:ascii="宋体" w:hAnsi="宋体"/>
          <w:bCs/>
          <w:sz w:val="24"/>
          <w:szCs w:val="24"/>
        </w:rPr>
        <w:t>)：</w:t>
      </w:r>
    </w:p>
    <w:p>
      <w:pPr>
        <w:tabs>
          <w:tab w:val="left" w:pos="3600"/>
        </w:tabs>
        <w:ind w:firstLine="480"/>
        <w:rPr>
          <w:rFonts w:ascii="宋体" w:hAnsi="宋体"/>
          <w:bCs/>
          <w:sz w:val="24"/>
        </w:rPr>
      </w:pPr>
    </w:p>
    <w:p>
      <w:pPr>
        <w:ind w:firstLine="480"/>
        <w:rPr>
          <w:rFonts w:ascii="宋体" w:hAnsi="宋体"/>
          <w:sz w:val="24"/>
        </w:rPr>
      </w:pPr>
      <w:r>
        <w:rPr>
          <w:rFonts w:hint="eastAsia" w:ascii="宋体" w:hAnsi="宋体"/>
          <w:bCs/>
          <w:sz w:val="24"/>
          <w:szCs w:val="24"/>
        </w:rPr>
        <w:t>日    期：    年  月  日</w:t>
      </w:r>
      <w:bookmarkStart w:id="125" w:name="_Toc427828614"/>
      <w:bookmarkStart w:id="126" w:name="_Toc427828564"/>
      <w:bookmarkStart w:id="127" w:name="_Toc234432974"/>
      <w:bookmarkStart w:id="128" w:name="_Toc334797769"/>
      <w:r>
        <w:rPr>
          <w:rFonts w:ascii="宋体" w:hAnsi="宋体"/>
          <w:sz w:val="24"/>
          <w:szCs w:val="24"/>
        </w:rPr>
        <w:br w:type="page"/>
      </w:r>
    </w:p>
    <w:bookmarkEnd w:id="125"/>
    <w:bookmarkEnd w:id="126"/>
    <w:p>
      <w:pPr>
        <w:rPr>
          <w:rFonts w:ascii="宋体" w:hAnsi="宋体"/>
          <w:b/>
          <w:sz w:val="30"/>
          <w:szCs w:val="30"/>
        </w:rPr>
      </w:pPr>
      <w:r>
        <w:rPr>
          <w:rFonts w:hint="eastAsia" w:ascii="宋体" w:hAnsi="宋体"/>
          <w:b/>
          <w:sz w:val="30"/>
          <w:szCs w:val="30"/>
        </w:rPr>
        <w:t>格式2</w:t>
      </w:r>
    </w:p>
    <w:bookmarkEnd w:id="127"/>
    <w:bookmarkEnd w:id="128"/>
    <w:p>
      <w:pPr>
        <w:spacing w:line="480" w:lineRule="auto"/>
        <w:jc w:val="center"/>
        <w:rPr>
          <w:b/>
          <w:sz w:val="28"/>
          <w:szCs w:val="28"/>
        </w:rPr>
      </w:pPr>
      <w:bookmarkStart w:id="129" w:name="_Toc428434859"/>
      <w:bookmarkStart w:id="130" w:name="_Toc334797770"/>
      <w:bookmarkStart w:id="131" w:name="_Toc427828615"/>
      <w:bookmarkStart w:id="132" w:name="_Toc427828565"/>
      <w:bookmarkStart w:id="133" w:name="_Toc334797771"/>
      <w:r>
        <w:rPr>
          <w:rFonts w:hint="eastAsia"/>
          <w:b/>
          <w:sz w:val="28"/>
          <w:szCs w:val="28"/>
        </w:rPr>
        <w:t>竞投报价表</w:t>
      </w:r>
      <w:bookmarkEnd w:id="129"/>
      <w:bookmarkEnd w:id="130"/>
      <w:bookmarkEnd w:id="131"/>
      <w:bookmarkEnd w:id="132"/>
    </w:p>
    <w:tbl>
      <w:tblPr>
        <w:tblStyle w:val="1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5"/>
        <w:gridCol w:w="6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1985" w:type="dxa"/>
            <w:vAlign w:val="center"/>
          </w:tcPr>
          <w:p>
            <w:pPr>
              <w:jc w:val="center"/>
              <w:rPr>
                <w:rFonts w:ascii="宋体" w:hAnsi="宋体" w:cs="仿宋_GB2312"/>
                <w:sz w:val="24"/>
              </w:rPr>
            </w:pPr>
            <w:r>
              <w:rPr>
                <w:rFonts w:hint="eastAsia" w:ascii="宋体" w:hAnsi="宋体" w:cs="仿宋_GB2312"/>
                <w:sz w:val="24"/>
              </w:rPr>
              <w:t>项目名称</w:t>
            </w:r>
          </w:p>
        </w:tc>
        <w:tc>
          <w:tcPr>
            <w:tcW w:w="6429" w:type="dxa"/>
            <w:vAlign w:val="center"/>
          </w:tcPr>
          <w:p>
            <w:pPr>
              <w:jc w:val="center"/>
              <w:rPr>
                <w:rFonts w:ascii="宋体" w:hAnsi="宋体" w:cs="仿宋_GB2312"/>
                <w:sz w:val="24"/>
              </w:rPr>
            </w:pPr>
            <w:r>
              <w:rPr>
                <w:rFonts w:hint="eastAsia" w:ascii="宋体" w:hAnsi="宋体"/>
                <w:color w:val="auto"/>
                <w:sz w:val="24"/>
                <w:szCs w:val="24"/>
              </w:rPr>
              <w:t>花城汇商业区LED屏2023年度维修保养服务采购项目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Align w:val="center"/>
          </w:tcPr>
          <w:p>
            <w:pPr>
              <w:ind w:left="120"/>
              <w:jc w:val="center"/>
              <w:rPr>
                <w:rFonts w:ascii="宋体" w:hAnsi="宋体" w:cs="仿宋_GB2312"/>
                <w:sz w:val="24"/>
              </w:rPr>
            </w:pPr>
            <w:r>
              <w:rPr>
                <w:rFonts w:hint="eastAsia" w:ascii="宋体" w:hAnsi="宋体" w:cs="仿宋_GB2312"/>
                <w:sz w:val="24"/>
              </w:rPr>
              <w:t xml:space="preserve">招选控制价    </w:t>
            </w:r>
            <w:r>
              <w:rPr>
                <w:rFonts w:hint="eastAsia" w:ascii="宋体" w:hAnsi="宋体"/>
                <w:bCs/>
                <w:sz w:val="24"/>
                <w:szCs w:val="24"/>
              </w:rPr>
              <w:t>（含增值税）</w:t>
            </w:r>
          </w:p>
        </w:tc>
        <w:tc>
          <w:tcPr>
            <w:tcW w:w="6429" w:type="dxa"/>
            <w:vAlign w:val="center"/>
          </w:tcPr>
          <w:p>
            <w:pPr>
              <w:jc w:val="center"/>
              <w:rPr>
                <w:rFonts w:ascii="宋体" w:hAnsi="宋体" w:cs="仿宋_GB2312"/>
                <w:b/>
                <w:sz w:val="24"/>
              </w:rPr>
            </w:pPr>
            <w:r>
              <w:rPr>
                <w:rFonts w:hint="eastAsia" w:ascii="宋体" w:hAnsi="宋体" w:cs="仿宋_GB2312"/>
                <w:b/>
                <w:sz w:val="24"/>
                <w:u w:val="single"/>
                <w:lang w:val="en-US" w:eastAsia="zh-CN"/>
              </w:rPr>
              <w:t xml:space="preserve"> 390380</w:t>
            </w:r>
            <w:r>
              <w:rPr>
                <w:rFonts w:hint="eastAsia" w:ascii="宋体" w:hAnsi="宋体" w:cs="仿宋_GB2312"/>
                <w:b/>
                <w:sz w:val="24"/>
                <w:u w:val="single"/>
              </w:rPr>
              <w:t>.00</w:t>
            </w:r>
            <w:r>
              <w:rPr>
                <w:rFonts w:hint="eastAsia" w:ascii="宋体" w:hAnsi="宋体" w:cs="仿宋_GB2312"/>
                <w:b/>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9" w:hRule="atLeast"/>
        </w:trPr>
        <w:tc>
          <w:tcPr>
            <w:tcW w:w="1985" w:type="dxa"/>
            <w:vAlign w:val="center"/>
          </w:tcPr>
          <w:p>
            <w:pPr>
              <w:jc w:val="center"/>
              <w:rPr>
                <w:rFonts w:ascii="宋体" w:hAnsi="宋体" w:cs="仿宋_GB2312"/>
                <w:sz w:val="24"/>
              </w:rPr>
            </w:pPr>
            <w:r>
              <w:rPr>
                <w:rFonts w:hint="eastAsia" w:ascii="宋体" w:hAnsi="宋体" w:cs="仿宋_GB2312"/>
                <w:sz w:val="24"/>
              </w:rPr>
              <w:t xml:space="preserve">竞投报价    </w:t>
            </w:r>
            <w:r>
              <w:rPr>
                <w:rFonts w:hint="eastAsia" w:ascii="宋体" w:hAnsi="宋体"/>
                <w:bCs/>
                <w:sz w:val="24"/>
                <w:szCs w:val="24"/>
              </w:rPr>
              <w:t>（含增值税）</w:t>
            </w:r>
          </w:p>
        </w:tc>
        <w:tc>
          <w:tcPr>
            <w:tcW w:w="6429" w:type="dxa"/>
            <w:vAlign w:val="center"/>
          </w:tcPr>
          <w:p>
            <w:pPr>
              <w:spacing w:line="360" w:lineRule="auto"/>
              <w:rPr>
                <w:rFonts w:ascii="宋体" w:hAnsi="宋体"/>
                <w:b/>
                <w:bCs/>
                <w:sz w:val="24"/>
                <w:szCs w:val="24"/>
              </w:rPr>
            </w:pPr>
            <w:r>
              <w:rPr>
                <w:rFonts w:hint="eastAsia" w:ascii="宋体" w:hAnsi="宋体"/>
                <w:b/>
                <w:bCs/>
                <w:sz w:val="24"/>
                <w:szCs w:val="24"/>
              </w:rPr>
              <w:t>竞投报价：</w:t>
            </w:r>
            <w:r>
              <w:rPr>
                <w:rFonts w:hint="eastAsia" w:ascii="宋体" w:hAnsi="宋体"/>
                <w:b/>
                <w:bCs/>
                <w:sz w:val="24"/>
                <w:szCs w:val="24"/>
                <w:u w:val="single"/>
              </w:rPr>
              <w:t xml:space="preserve">           </w:t>
            </w:r>
            <w:r>
              <w:rPr>
                <w:rFonts w:hint="eastAsia" w:ascii="宋体" w:hAnsi="宋体"/>
                <w:b/>
                <w:bCs/>
                <w:sz w:val="24"/>
                <w:szCs w:val="24"/>
              </w:rPr>
              <w:t>元 （人民币大写：</w:t>
            </w:r>
            <w:r>
              <w:rPr>
                <w:rFonts w:hint="eastAsia" w:ascii="宋体" w:hAnsi="宋体"/>
                <w:b/>
                <w:bCs/>
                <w:sz w:val="24"/>
                <w:szCs w:val="24"/>
                <w:u w:val="single"/>
              </w:rPr>
              <w:t xml:space="preserve">              </w:t>
            </w:r>
            <w:r>
              <w:rPr>
                <w:rFonts w:hint="eastAsia" w:ascii="宋体" w:hAnsi="宋体"/>
                <w:b/>
                <w:bCs/>
                <w:sz w:val="24"/>
                <w:szCs w:val="24"/>
              </w:rPr>
              <w:t>），</w:t>
            </w:r>
            <w:r>
              <w:rPr>
                <w:rFonts w:hint="eastAsia" w:ascii="宋体" w:hAnsi="宋体"/>
                <w:b/>
                <w:bCs/>
                <w:sz w:val="24"/>
                <w:szCs w:val="24"/>
                <w:u w:val="single"/>
              </w:rPr>
              <w:t xml:space="preserve">   </w:t>
            </w:r>
            <w:r>
              <w:rPr>
                <w:rFonts w:hint="eastAsia" w:ascii="宋体" w:hAnsi="宋体"/>
                <w:b/>
                <w:bCs/>
                <w:sz w:val="24"/>
                <w:szCs w:val="24"/>
              </w:rPr>
              <w:t xml:space="preserve"> </w:t>
            </w:r>
          </w:p>
          <w:p>
            <w:pPr>
              <w:spacing w:line="360" w:lineRule="auto"/>
              <w:rPr>
                <w:rFonts w:ascii="宋体" w:hAnsi="宋体"/>
                <w:b/>
                <w:bCs/>
                <w:sz w:val="24"/>
                <w:szCs w:val="24"/>
              </w:rPr>
            </w:pPr>
            <w:r>
              <w:rPr>
                <w:rFonts w:hint="eastAsia" w:ascii="宋体" w:hAnsi="宋体"/>
                <w:b/>
                <w:bCs/>
                <w:sz w:val="24"/>
                <w:szCs w:val="24"/>
              </w:rPr>
              <w:t>其中，不含税报价：</w:t>
            </w:r>
            <w:r>
              <w:rPr>
                <w:rFonts w:hint="eastAsia" w:ascii="宋体" w:hAnsi="宋体"/>
                <w:b/>
                <w:bCs/>
                <w:sz w:val="24"/>
                <w:szCs w:val="24"/>
                <w:u w:val="single"/>
              </w:rPr>
              <w:t xml:space="preserve">      </w:t>
            </w:r>
            <w:r>
              <w:rPr>
                <w:rFonts w:hint="eastAsia" w:ascii="宋体" w:hAnsi="宋体"/>
                <w:b/>
                <w:bCs/>
                <w:sz w:val="24"/>
                <w:szCs w:val="24"/>
              </w:rPr>
              <w:t>元，增值税税额：</w:t>
            </w:r>
            <w:r>
              <w:rPr>
                <w:rFonts w:hint="eastAsia" w:ascii="宋体" w:hAnsi="宋体"/>
                <w:b/>
                <w:bCs/>
                <w:sz w:val="24"/>
                <w:szCs w:val="24"/>
                <w:u w:val="single"/>
              </w:rPr>
              <w:t xml:space="preserve">       </w:t>
            </w:r>
            <w:r>
              <w:rPr>
                <w:rFonts w:hint="eastAsia" w:ascii="宋体" w:hAnsi="宋体"/>
                <w:b/>
                <w:bCs/>
                <w:sz w:val="24"/>
                <w:szCs w:val="24"/>
              </w:rPr>
              <w:t>元，税率：</w:t>
            </w:r>
            <w:r>
              <w:rPr>
                <w:rFonts w:hint="eastAsia" w:ascii="宋体" w:hAnsi="宋体"/>
                <w:b/>
                <w:bCs/>
                <w:sz w:val="24"/>
                <w:szCs w:val="24"/>
                <w:u w:val="single"/>
              </w:rPr>
              <w:t xml:space="preserve">    </w:t>
            </w:r>
            <w:r>
              <w:rPr>
                <w:rFonts w:hint="eastAsia" w:ascii="宋体" w:hAnsi="宋体"/>
                <w:b/>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1985" w:type="dxa"/>
            <w:vAlign w:val="center"/>
          </w:tcPr>
          <w:p>
            <w:pPr>
              <w:jc w:val="center"/>
              <w:rPr>
                <w:rFonts w:ascii="宋体" w:hAnsi="宋体" w:cs="仿宋_GB2312"/>
                <w:sz w:val="24"/>
              </w:rPr>
            </w:pPr>
            <w:r>
              <w:rPr>
                <w:rFonts w:hint="eastAsia" w:ascii="宋体" w:hAnsi="宋体" w:cs="仿宋_GB2312"/>
                <w:sz w:val="24"/>
              </w:rPr>
              <w:t>备注</w:t>
            </w:r>
          </w:p>
        </w:tc>
        <w:tc>
          <w:tcPr>
            <w:tcW w:w="6429" w:type="dxa"/>
          </w:tcPr>
          <w:p>
            <w:pPr>
              <w:jc w:val="left"/>
              <w:rPr>
                <w:rFonts w:ascii="宋体" w:hAnsi="宋体" w:cs="仿宋_GB2312"/>
                <w:sz w:val="24"/>
              </w:rPr>
            </w:pPr>
          </w:p>
        </w:tc>
      </w:tr>
    </w:tbl>
    <w:p>
      <w:pPr>
        <w:ind w:firstLine="480"/>
        <w:jc w:val="left"/>
        <w:rPr>
          <w:rFonts w:ascii="宋体" w:hAnsi="宋体" w:cs="仿宋_GB2312"/>
          <w:sz w:val="24"/>
        </w:rPr>
      </w:pPr>
    </w:p>
    <w:p>
      <w:pPr>
        <w:spacing w:line="440" w:lineRule="exact"/>
        <w:ind w:firstLine="480" w:firstLineChars="200"/>
        <w:jc w:val="left"/>
        <w:rPr>
          <w:rFonts w:ascii="宋体" w:hAnsi="宋体" w:cs="仿宋_GB2312"/>
          <w:sz w:val="24"/>
          <w:szCs w:val="24"/>
        </w:rPr>
      </w:pPr>
      <w:r>
        <w:rPr>
          <w:rFonts w:hint="eastAsia" w:ascii="宋体" w:hAnsi="宋体" w:cs="仿宋_GB2312"/>
          <w:sz w:val="24"/>
          <w:szCs w:val="24"/>
        </w:rPr>
        <w:t>注：</w:t>
      </w:r>
    </w:p>
    <w:p>
      <w:pPr>
        <w:pStyle w:val="27"/>
        <w:numPr>
          <w:ilvl w:val="3"/>
          <w:numId w:val="24"/>
        </w:numPr>
        <w:spacing w:line="440" w:lineRule="exact"/>
        <w:ind w:left="0" w:firstLine="480"/>
        <w:jc w:val="left"/>
        <w:rPr>
          <w:rFonts w:ascii="宋体" w:hAnsi="宋体" w:cs="仿宋_GB2312"/>
          <w:sz w:val="24"/>
        </w:rPr>
      </w:pPr>
      <w:r>
        <w:rPr>
          <w:rFonts w:hint="eastAsia" w:ascii="宋体" w:hAnsi="宋体" w:cs="仿宋_GB2312"/>
          <w:sz w:val="24"/>
          <w:szCs w:val="24"/>
        </w:rPr>
        <w:t>此表为服务总报价，如有缺项、漏项，视为竞投报价中已包含相关费用，采购人无须另外支付任何费用。</w:t>
      </w:r>
    </w:p>
    <w:p>
      <w:pPr>
        <w:pStyle w:val="27"/>
        <w:numPr>
          <w:ilvl w:val="3"/>
          <w:numId w:val="24"/>
        </w:numPr>
        <w:spacing w:line="440" w:lineRule="exact"/>
        <w:ind w:left="0" w:firstLine="480"/>
        <w:jc w:val="left"/>
        <w:rPr>
          <w:rFonts w:ascii="宋体" w:hAnsi="宋体" w:cs="仿宋_GB2312"/>
          <w:sz w:val="24"/>
          <w:szCs w:val="24"/>
        </w:rPr>
      </w:pPr>
      <w:r>
        <w:rPr>
          <w:rFonts w:hint="eastAsia" w:ascii="宋体" w:hAnsi="宋体" w:cs="仿宋_GB2312"/>
          <w:sz w:val="24"/>
          <w:szCs w:val="24"/>
        </w:rPr>
        <w:t>竞投人应按“招选人需求”的要求，根据实际情况进行报价。本表内的竞投报价为最终报价，竞投文件内不得含有任何对本报价进行修改的其他说明，否则将被视为无效竞投。</w:t>
      </w:r>
    </w:p>
    <w:p>
      <w:pPr>
        <w:pStyle w:val="27"/>
        <w:numPr>
          <w:ilvl w:val="3"/>
          <w:numId w:val="24"/>
        </w:numPr>
        <w:spacing w:line="440" w:lineRule="exact"/>
        <w:ind w:left="0" w:firstLine="480"/>
        <w:jc w:val="left"/>
        <w:rPr>
          <w:rFonts w:ascii="宋体" w:hAnsi="宋体" w:cs="仿宋_GB2312"/>
          <w:sz w:val="24"/>
          <w:szCs w:val="24"/>
        </w:rPr>
      </w:pPr>
      <w:r>
        <w:rPr>
          <w:rFonts w:hint="eastAsia" w:ascii="宋体" w:hAnsi="宋体" w:cs="仿宋_GB2312"/>
          <w:sz w:val="24"/>
          <w:szCs w:val="24"/>
        </w:rPr>
        <w:t>竞投报价包括了中选单位完成本项目所需的一切工作内容而发生的所有费用。</w:t>
      </w:r>
    </w:p>
    <w:p>
      <w:pPr>
        <w:pStyle w:val="27"/>
        <w:numPr>
          <w:ilvl w:val="3"/>
          <w:numId w:val="24"/>
        </w:numPr>
        <w:spacing w:line="440" w:lineRule="exact"/>
        <w:ind w:left="0" w:firstLine="480"/>
        <w:jc w:val="left"/>
        <w:rPr>
          <w:rFonts w:ascii="宋体" w:hAnsi="宋体" w:cs="仿宋_GB2312"/>
          <w:sz w:val="24"/>
          <w:szCs w:val="24"/>
        </w:rPr>
      </w:pPr>
      <w:r>
        <w:rPr>
          <w:rFonts w:hint="eastAsia" w:ascii="宋体" w:hAnsi="宋体" w:cs="仿宋_GB2312"/>
          <w:sz w:val="24"/>
          <w:szCs w:val="24"/>
        </w:rPr>
        <w:t>本竞投报价为固定不变价（竞投报价=不含税报价+增值税税额）。</w:t>
      </w:r>
    </w:p>
    <w:p>
      <w:pPr>
        <w:pStyle w:val="27"/>
        <w:numPr>
          <w:ilvl w:val="3"/>
          <w:numId w:val="24"/>
        </w:numPr>
        <w:spacing w:line="440" w:lineRule="exact"/>
        <w:ind w:left="0" w:firstLine="480"/>
        <w:jc w:val="left"/>
        <w:rPr>
          <w:rFonts w:ascii="宋体" w:hAnsi="宋体" w:cs="仿宋_GB2312"/>
          <w:sz w:val="24"/>
          <w:szCs w:val="24"/>
        </w:rPr>
      </w:pPr>
      <w:r>
        <w:rPr>
          <w:rFonts w:hint="eastAsia" w:ascii="宋体" w:hAnsi="宋体" w:cs="仿宋_GB2312"/>
          <w:sz w:val="24"/>
          <w:szCs w:val="24"/>
        </w:rPr>
        <w:t>报价以人民币元为单位，保留小数点后两位。</w:t>
      </w:r>
    </w:p>
    <w:p>
      <w:pPr>
        <w:pStyle w:val="27"/>
        <w:numPr>
          <w:ilvl w:val="3"/>
          <w:numId w:val="24"/>
        </w:numPr>
        <w:spacing w:line="440" w:lineRule="exact"/>
        <w:ind w:left="0" w:firstLine="480"/>
        <w:jc w:val="left"/>
        <w:rPr>
          <w:rFonts w:ascii="宋体" w:hAnsi="宋体" w:cs="仿宋_GB2312"/>
          <w:sz w:val="24"/>
          <w:szCs w:val="24"/>
        </w:rPr>
      </w:pPr>
      <w:r>
        <w:rPr>
          <w:rFonts w:hint="eastAsia" w:ascii="宋体" w:hAnsi="宋体" w:cs="仿宋_GB2312"/>
          <w:sz w:val="24"/>
          <w:szCs w:val="24"/>
        </w:rPr>
        <w:t>本表格须附在正副本的竞投文件中。</w:t>
      </w:r>
    </w:p>
    <w:p>
      <w:pPr>
        <w:ind w:firstLine="480"/>
        <w:jc w:val="left"/>
        <w:rPr>
          <w:rFonts w:ascii="宋体" w:hAnsi="宋体" w:cs="仿宋_GB2312"/>
          <w:sz w:val="24"/>
        </w:rPr>
      </w:pPr>
    </w:p>
    <w:p>
      <w:pPr>
        <w:ind w:firstLine="480"/>
        <w:jc w:val="left"/>
        <w:rPr>
          <w:rFonts w:ascii="宋体" w:hAnsi="宋体" w:cs="仿宋_GB2312"/>
          <w:sz w:val="24"/>
        </w:rPr>
      </w:pPr>
    </w:p>
    <w:p>
      <w:pPr>
        <w:ind w:firstLine="470" w:firstLineChars="196"/>
        <w:jc w:val="left"/>
        <w:rPr>
          <w:rFonts w:ascii="宋体" w:hAnsi="宋体" w:cs="仿宋_GB2312"/>
          <w:sz w:val="24"/>
        </w:rPr>
      </w:pPr>
    </w:p>
    <w:p>
      <w:pPr>
        <w:ind w:firstLine="480"/>
        <w:rPr>
          <w:rFonts w:ascii="宋体" w:hAnsi="宋体"/>
          <w:bCs/>
          <w:sz w:val="24"/>
        </w:rPr>
      </w:pPr>
      <w:r>
        <w:rPr>
          <w:rFonts w:hint="eastAsia" w:ascii="宋体" w:hAnsi="宋体"/>
          <w:bCs/>
          <w:sz w:val="24"/>
          <w:szCs w:val="24"/>
        </w:rPr>
        <w:t>竞投人全称（公章）:</w:t>
      </w:r>
    </w:p>
    <w:p>
      <w:pPr>
        <w:ind w:firstLine="480"/>
        <w:rPr>
          <w:rFonts w:ascii="宋体" w:hAnsi="宋体"/>
          <w:bCs/>
          <w:sz w:val="24"/>
        </w:rPr>
      </w:pPr>
    </w:p>
    <w:p>
      <w:pPr>
        <w:tabs>
          <w:tab w:val="left" w:pos="3600"/>
        </w:tabs>
        <w:ind w:firstLine="480"/>
        <w:rPr>
          <w:rFonts w:ascii="宋体" w:hAnsi="宋体"/>
          <w:bCs/>
          <w:sz w:val="24"/>
        </w:rPr>
      </w:pPr>
      <w:r>
        <w:rPr>
          <w:rFonts w:hint="eastAsia" w:ascii="宋体" w:hAnsi="宋体"/>
          <w:bCs/>
          <w:sz w:val="24"/>
          <w:szCs w:val="24"/>
        </w:rPr>
        <w:t>法定代表人或其竞投人授权代表(</w:t>
      </w:r>
      <w:r>
        <w:rPr>
          <w:rFonts w:hint="eastAsia" w:ascii="宋体" w:hAnsi="宋体"/>
          <w:sz w:val="24"/>
          <w:szCs w:val="24"/>
        </w:rPr>
        <w:t>签字</w:t>
      </w:r>
      <w:r>
        <w:rPr>
          <w:rFonts w:hint="eastAsia" w:ascii="宋体" w:hAnsi="宋体"/>
          <w:bCs/>
          <w:sz w:val="24"/>
          <w:szCs w:val="24"/>
        </w:rPr>
        <w:t>)：</w:t>
      </w:r>
    </w:p>
    <w:p>
      <w:pPr>
        <w:tabs>
          <w:tab w:val="left" w:pos="3600"/>
        </w:tabs>
        <w:ind w:firstLine="480"/>
        <w:rPr>
          <w:rFonts w:ascii="宋体" w:hAnsi="宋体"/>
          <w:bCs/>
          <w:sz w:val="24"/>
        </w:rPr>
      </w:pPr>
    </w:p>
    <w:p>
      <w:pPr>
        <w:tabs>
          <w:tab w:val="left" w:pos="3600"/>
        </w:tabs>
        <w:ind w:firstLine="480"/>
        <w:rPr>
          <w:rFonts w:ascii="宋体" w:hAnsi="宋体"/>
          <w:sz w:val="24"/>
        </w:rPr>
      </w:pPr>
      <w:r>
        <w:rPr>
          <w:rFonts w:hint="eastAsia" w:ascii="宋体" w:hAnsi="宋体"/>
          <w:bCs/>
          <w:sz w:val="24"/>
          <w:szCs w:val="24"/>
        </w:rPr>
        <w:t>日    期：    年  月  日</w:t>
      </w:r>
    </w:p>
    <w:p>
      <w:pPr>
        <w:ind w:firstLine="480"/>
        <w:rPr>
          <w:rFonts w:ascii="宋体" w:hAnsi="宋体"/>
          <w:sz w:val="24"/>
          <w:szCs w:val="24"/>
        </w:rPr>
      </w:pPr>
      <w:bookmarkStart w:id="134" w:name="_Toc427828566"/>
      <w:bookmarkStart w:id="135" w:name="_Toc427828616"/>
    </w:p>
    <w:p>
      <w:pPr>
        <w:widowControl/>
        <w:ind w:firstLine="480"/>
        <w:jc w:val="left"/>
        <w:rPr>
          <w:rFonts w:ascii="宋体" w:hAnsi="宋体"/>
          <w:sz w:val="24"/>
          <w:szCs w:val="24"/>
        </w:rPr>
      </w:pPr>
      <w:r>
        <w:rPr>
          <w:rFonts w:ascii="宋体" w:hAnsi="宋体"/>
          <w:sz w:val="24"/>
          <w:szCs w:val="24"/>
        </w:rPr>
        <w:br w:type="page"/>
      </w:r>
    </w:p>
    <w:p>
      <w:pPr>
        <w:rPr>
          <w:rFonts w:ascii="宋体" w:hAnsi="宋体"/>
          <w:b/>
          <w:sz w:val="30"/>
          <w:szCs w:val="30"/>
        </w:rPr>
      </w:pPr>
      <w:r>
        <w:rPr>
          <w:rFonts w:hint="eastAsia" w:ascii="宋体" w:hAnsi="宋体"/>
          <w:b/>
          <w:sz w:val="30"/>
          <w:szCs w:val="30"/>
        </w:rPr>
        <w:t>格式3</w:t>
      </w:r>
    </w:p>
    <w:p>
      <w:pPr>
        <w:spacing w:line="480" w:lineRule="auto"/>
        <w:jc w:val="center"/>
        <w:rPr>
          <w:b/>
          <w:sz w:val="28"/>
          <w:szCs w:val="28"/>
        </w:rPr>
      </w:pPr>
      <w:r>
        <w:rPr>
          <w:rFonts w:hint="eastAsia"/>
          <w:b/>
          <w:sz w:val="28"/>
          <w:szCs w:val="28"/>
        </w:rPr>
        <w:t>竞投报价明细表</w:t>
      </w:r>
    </w:p>
    <w:tbl>
      <w:tblPr>
        <w:tblStyle w:val="16"/>
        <w:tblW w:w="8551" w:type="dxa"/>
        <w:jc w:val="center"/>
        <w:tblLayout w:type="autofit"/>
        <w:tblCellMar>
          <w:top w:w="0" w:type="dxa"/>
          <w:left w:w="108" w:type="dxa"/>
          <w:bottom w:w="0" w:type="dxa"/>
          <w:right w:w="108" w:type="dxa"/>
        </w:tblCellMar>
      </w:tblPr>
      <w:tblGrid>
        <w:gridCol w:w="698"/>
        <w:gridCol w:w="1180"/>
        <w:gridCol w:w="3838"/>
        <w:gridCol w:w="1276"/>
        <w:gridCol w:w="1559"/>
      </w:tblGrid>
      <w:tr>
        <w:tblPrEx>
          <w:tblCellMar>
            <w:top w:w="0" w:type="dxa"/>
            <w:left w:w="108" w:type="dxa"/>
            <w:bottom w:w="0" w:type="dxa"/>
            <w:right w:w="108" w:type="dxa"/>
          </w:tblCellMar>
        </w:tblPrEx>
        <w:trPr>
          <w:trHeight w:val="85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序号</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工作内容</w:t>
            </w:r>
          </w:p>
        </w:tc>
        <w:tc>
          <w:tcPr>
            <w:tcW w:w="38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详细内容</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报价</w:t>
            </w:r>
            <w:r>
              <w:rPr>
                <w:rFonts w:hint="eastAsia" w:cs="宋体" w:asciiTheme="minorEastAsia" w:hAnsiTheme="minorEastAsia" w:eastAsiaTheme="minorEastAsia"/>
                <w:b/>
                <w:bCs/>
                <w:kern w:val="0"/>
                <w:sz w:val="24"/>
                <w:szCs w:val="24"/>
              </w:rPr>
              <w:br w:type="textWrapping"/>
            </w:r>
            <w:r>
              <w:rPr>
                <w:rFonts w:hint="eastAsia" w:cs="宋体" w:asciiTheme="minorEastAsia" w:hAnsiTheme="minorEastAsia" w:eastAsiaTheme="minorEastAsia"/>
                <w:b/>
                <w:bCs/>
                <w:kern w:val="0"/>
                <w:sz w:val="24"/>
                <w:szCs w:val="24"/>
              </w:rPr>
              <w:t>(元)</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备注</w:t>
            </w:r>
          </w:p>
        </w:tc>
      </w:tr>
      <w:tr>
        <w:tblPrEx>
          <w:tblCellMar>
            <w:top w:w="0" w:type="dxa"/>
            <w:left w:w="108" w:type="dxa"/>
            <w:bottom w:w="0" w:type="dxa"/>
            <w:right w:w="108" w:type="dxa"/>
          </w:tblCellMar>
        </w:tblPrEx>
        <w:trPr>
          <w:trHeight w:val="82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人员费用</w:t>
            </w:r>
          </w:p>
        </w:tc>
        <w:tc>
          <w:tcPr>
            <w:tcW w:w="383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维修工程师至少3人。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szCs w:val="24"/>
              </w:rPr>
            </w:pPr>
          </w:p>
        </w:tc>
        <w:tc>
          <w:tcPr>
            <w:tcW w:w="1559" w:type="dxa"/>
            <w:tcBorders>
              <w:top w:val="single" w:color="auto" w:sz="4" w:space="0"/>
              <w:left w:val="nil"/>
              <w:bottom w:val="single" w:color="auto" w:sz="4" w:space="0"/>
              <w:right w:val="single" w:color="auto" w:sz="4" w:space="0"/>
            </w:tcBorders>
          </w:tcPr>
          <w:p>
            <w:pPr>
              <w:widowControl/>
              <w:jc w:val="center"/>
              <w:rPr>
                <w:rFonts w:cs="宋体" w:asciiTheme="minorEastAsia" w:hAnsiTheme="minorEastAsia" w:eastAsiaTheme="minorEastAsia"/>
                <w:kern w:val="0"/>
                <w:sz w:val="24"/>
                <w:szCs w:val="24"/>
              </w:rPr>
            </w:pPr>
          </w:p>
        </w:tc>
      </w:tr>
      <w:tr>
        <w:tblPrEx>
          <w:tblCellMar>
            <w:top w:w="0" w:type="dxa"/>
            <w:left w:w="108" w:type="dxa"/>
            <w:bottom w:w="0" w:type="dxa"/>
            <w:right w:w="108" w:type="dxa"/>
          </w:tblCellMar>
        </w:tblPrEx>
        <w:trPr>
          <w:trHeight w:val="85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维修配件</w:t>
            </w:r>
            <w:r>
              <w:rPr>
                <w:rFonts w:hint="eastAsia" w:cs="宋体" w:asciiTheme="minorEastAsia" w:hAnsiTheme="minorEastAsia" w:eastAsiaTheme="minorEastAsia"/>
                <w:kern w:val="0"/>
                <w:sz w:val="24"/>
                <w:szCs w:val="24"/>
              </w:rPr>
              <w:br w:type="textWrapping"/>
            </w:r>
            <w:r>
              <w:rPr>
                <w:rFonts w:hint="eastAsia" w:cs="宋体" w:asciiTheme="minorEastAsia" w:hAnsiTheme="minorEastAsia" w:eastAsiaTheme="minorEastAsia"/>
                <w:kern w:val="0"/>
                <w:sz w:val="24"/>
                <w:szCs w:val="24"/>
              </w:rPr>
              <w:t>费用</w:t>
            </w:r>
          </w:p>
        </w:tc>
        <w:tc>
          <w:tcPr>
            <w:tcW w:w="383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包含常用维修更换配件及其他维修更换配件费用。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szCs w:val="24"/>
              </w:rPr>
            </w:pPr>
          </w:p>
        </w:tc>
        <w:tc>
          <w:tcPr>
            <w:tcW w:w="1559" w:type="dxa"/>
            <w:tcBorders>
              <w:top w:val="single" w:color="auto" w:sz="4" w:space="0"/>
              <w:left w:val="nil"/>
              <w:bottom w:val="single" w:color="auto" w:sz="4" w:space="0"/>
              <w:right w:val="single" w:color="auto" w:sz="4" w:space="0"/>
            </w:tcBorders>
          </w:tcPr>
          <w:p>
            <w:pPr>
              <w:widowControl/>
              <w:jc w:val="center"/>
              <w:rPr>
                <w:rFonts w:cs="宋体" w:asciiTheme="minorEastAsia" w:hAnsiTheme="minorEastAsia" w:eastAsiaTheme="minorEastAsia"/>
                <w:kern w:val="0"/>
                <w:sz w:val="24"/>
                <w:szCs w:val="24"/>
              </w:rPr>
            </w:pPr>
          </w:p>
        </w:tc>
      </w:tr>
      <w:tr>
        <w:tblPrEx>
          <w:tblCellMar>
            <w:top w:w="0" w:type="dxa"/>
            <w:left w:w="108" w:type="dxa"/>
            <w:bottom w:w="0" w:type="dxa"/>
            <w:right w:w="108" w:type="dxa"/>
          </w:tblCellMar>
        </w:tblPrEx>
        <w:trPr>
          <w:trHeight w:val="1421"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其他费用</w:t>
            </w:r>
          </w:p>
        </w:tc>
        <w:tc>
          <w:tcPr>
            <w:tcW w:w="383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结构保养费：</w:t>
            </w:r>
            <w:r>
              <w:rPr>
                <w:rFonts w:hint="eastAsia" w:cs="宋体" w:asciiTheme="minorEastAsia" w:hAnsiTheme="minorEastAsia" w:eastAsiaTheme="minorEastAsia"/>
                <w:kern w:val="0"/>
                <w:sz w:val="24"/>
                <w:szCs w:val="24"/>
              </w:rPr>
              <w:br w:type="textWrapping"/>
            </w:r>
            <w:r>
              <w:rPr>
                <w:rFonts w:hint="eastAsia" w:cs="宋体" w:asciiTheme="minorEastAsia" w:hAnsiTheme="minorEastAsia" w:eastAsiaTheme="minorEastAsia"/>
                <w:kern w:val="0"/>
                <w:szCs w:val="21"/>
              </w:rPr>
              <w:t>8块屏幕总显示面积为363m</w:t>
            </w:r>
            <w:r>
              <w:rPr>
                <w:rFonts w:hint="eastAsia" w:cs="宋体" w:asciiTheme="minorEastAsia" w:hAnsiTheme="minorEastAsia" w:eastAsiaTheme="minorEastAsia"/>
                <w:kern w:val="0"/>
                <w:szCs w:val="21"/>
                <w:vertAlign w:val="superscript"/>
              </w:rPr>
              <w:t>2</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(注：屏体钢结构及外包边做防水、防腐、除锈等)</w:t>
            </w: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szCs w:val="24"/>
              </w:rPr>
            </w:pPr>
          </w:p>
        </w:tc>
        <w:tc>
          <w:tcPr>
            <w:tcW w:w="1559" w:type="dxa"/>
            <w:tcBorders>
              <w:top w:val="single" w:color="auto" w:sz="4" w:space="0"/>
              <w:left w:val="single" w:color="auto" w:sz="4" w:space="0"/>
              <w:bottom w:val="single" w:color="auto" w:sz="4" w:space="0"/>
              <w:right w:val="single" w:color="auto" w:sz="4" w:space="0"/>
            </w:tcBorders>
          </w:tcPr>
          <w:p>
            <w:pPr>
              <w:widowControl/>
              <w:jc w:val="center"/>
              <w:rPr>
                <w:rFonts w:cs="宋体" w:asciiTheme="minorEastAsia" w:hAnsiTheme="minorEastAsia" w:eastAsiaTheme="minorEastAsia"/>
                <w:kern w:val="0"/>
                <w:sz w:val="24"/>
                <w:szCs w:val="24"/>
              </w:rPr>
            </w:pPr>
          </w:p>
        </w:tc>
      </w:tr>
      <w:tr>
        <w:tblPrEx>
          <w:tblCellMar>
            <w:top w:w="0" w:type="dxa"/>
            <w:left w:w="108" w:type="dxa"/>
            <w:bottom w:w="0" w:type="dxa"/>
            <w:right w:w="108" w:type="dxa"/>
          </w:tblCellMar>
        </w:tblPrEx>
        <w:trPr>
          <w:trHeight w:val="98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4"/>
                <w:szCs w:val="24"/>
              </w:rPr>
            </w:pPr>
          </w:p>
        </w:tc>
        <w:tc>
          <w:tcPr>
            <w:tcW w:w="383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辅材费</w:t>
            </w:r>
            <w:r>
              <w:rPr>
                <w:rFonts w:hint="eastAsia" w:cs="宋体" w:asciiTheme="minorEastAsia" w:hAnsiTheme="minorEastAsia" w:eastAsiaTheme="minorEastAsia"/>
                <w:kern w:val="0"/>
                <w:sz w:val="24"/>
                <w:szCs w:val="24"/>
              </w:rPr>
              <w:br w:type="textWrapping"/>
            </w:r>
            <w:r>
              <w:rPr>
                <w:rFonts w:hint="eastAsia" w:cs="宋体" w:asciiTheme="minorEastAsia" w:hAnsiTheme="minorEastAsia" w:eastAsiaTheme="minorEastAsia"/>
                <w:kern w:val="0"/>
                <w:szCs w:val="21"/>
              </w:rPr>
              <w:t>（注：含仪器设备及工具使用费等。）</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4"/>
                <w:szCs w:val="24"/>
              </w:rPr>
            </w:pPr>
          </w:p>
        </w:tc>
        <w:tc>
          <w:tcPr>
            <w:tcW w:w="1559" w:type="dxa"/>
            <w:tcBorders>
              <w:top w:val="single" w:color="auto" w:sz="4" w:space="0"/>
              <w:left w:val="single" w:color="auto" w:sz="4" w:space="0"/>
              <w:bottom w:val="single" w:color="auto" w:sz="4" w:space="0"/>
              <w:right w:val="single" w:color="auto" w:sz="4" w:space="0"/>
            </w:tcBorders>
          </w:tcPr>
          <w:p>
            <w:pPr>
              <w:widowControl/>
              <w:jc w:val="left"/>
              <w:rPr>
                <w:rFonts w:cs="宋体" w:asciiTheme="minorEastAsia" w:hAnsiTheme="minorEastAsia" w:eastAsiaTheme="minorEastAsia"/>
                <w:kern w:val="0"/>
                <w:sz w:val="24"/>
                <w:szCs w:val="24"/>
              </w:rPr>
            </w:pPr>
          </w:p>
        </w:tc>
      </w:tr>
      <w:tr>
        <w:tblPrEx>
          <w:tblCellMar>
            <w:top w:w="0" w:type="dxa"/>
            <w:left w:w="108" w:type="dxa"/>
            <w:bottom w:w="0" w:type="dxa"/>
            <w:right w:w="108" w:type="dxa"/>
          </w:tblCellMar>
        </w:tblPrEx>
        <w:trPr>
          <w:trHeight w:val="98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4"/>
                <w:szCs w:val="24"/>
              </w:rPr>
            </w:pPr>
          </w:p>
        </w:tc>
        <w:tc>
          <w:tcPr>
            <w:tcW w:w="3838"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施工措施费</w:t>
            </w:r>
            <w:r>
              <w:rPr>
                <w:rFonts w:hint="eastAsia" w:cs="宋体" w:asciiTheme="minorEastAsia" w:hAnsiTheme="minorEastAsia" w:eastAsiaTheme="minorEastAsia"/>
                <w:kern w:val="0"/>
                <w:sz w:val="24"/>
                <w:szCs w:val="24"/>
              </w:rPr>
              <w:br w:type="textWrapping"/>
            </w:r>
            <w:r>
              <w:rPr>
                <w:rFonts w:hint="eastAsia" w:cs="宋体" w:asciiTheme="minorEastAsia" w:hAnsiTheme="minorEastAsia" w:eastAsiaTheme="minorEastAsia"/>
                <w:kern w:val="0"/>
                <w:szCs w:val="21"/>
              </w:rPr>
              <w:t>（注：高空作业、安全文明施工、围挡等。）</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4"/>
                <w:szCs w:val="24"/>
              </w:rPr>
            </w:pPr>
          </w:p>
        </w:tc>
        <w:tc>
          <w:tcPr>
            <w:tcW w:w="1559" w:type="dxa"/>
            <w:tcBorders>
              <w:top w:val="single" w:color="auto" w:sz="4" w:space="0"/>
              <w:left w:val="single" w:color="auto" w:sz="4" w:space="0"/>
              <w:bottom w:val="single" w:color="auto" w:sz="4" w:space="0"/>
              <w:right w:val="single" w:color="auto" w:sz="4" w:space="0"/>
            </w:tcBorders>
          </w:tcPr>
          <w:p>
            <w:pPr>
              <w:widowControl/>
              <w:jc w:val="left"/>
              <w:rPr>
                <w:rFonts w:cs="宋体" w:asciiTheme="minorEastAsia" w:hAnsiTheme="minorEastAsia" w:eastAsiaTheme="minorEastAsia"/>
                <w:kern w:val="0"/>
                <w:sz w:val="24"/>
                <w:szCs w:val="24"/>
              </w:rPr>
            </w:pPr>
          </w:p>
        </w:tc>
      </w:tr>
      <w:tr>
        <w:tblPrEx>
          <w:tblCellMar>
            <w:top w:w="0" w:type="dxa"/>
            <w:left w:w="108" w:type="dxa"/>
            <w:bottom w:w="0" w:type="dxa"/>
            <w:right w:w="108" w:type="dxa"/>
          </w:tblCellMar>
        </w:tblPrEx>
        <w:trPr>
          <w:trHeight w:val="79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w:t>
            </w:r>
          </w:p>
        </w:tc>
        <w:tc>
          <w:tcPr>
            <w:tcW w:w="501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总计（含税）</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24"/>
                <w:szCs w:val="24"/>
              </w:rPr>
            </w:pPr>
          </w:p>
        </w:tc>
        <w:tc>
          <w:tcPr>
            <w:tcW w:w="1559" w:type="dxa"/>
            <w:tcBorders>
              <w:top w:val="single" w:color="auto" w:sz="4" w:space="0"/>
              <w:left w:val="nil"/>
              <w:bottom w:val="single" w:color="auto" w:sz="4" w:space="0"/>
              <w:right w:val="single" w:color="auto" w:sz="4" w:space="0"/>
            </w:tcBorders>
          </w:tcPr>
          <w:p>
            <w:pPr>
              <w:widowControl/>
              <w:jc w:val="center"/>
              <w:rPr>
                <w:rFonts w:cs="宋体" w:asciiTheme="minorEastAsia" w:hAnsiTheme="minorEastAsia" w:eastAsiaTheme="minorEastAsia"/>
                <w:b/>
                <w:bCs/>
                <w:kern w:val="0"/>
                <w:sz w:val="24"/>
                <w:szCs w:val="24"/>
              </w:rPr>
            </w:pPr>
          </w:p>
        </w:tc>
      </w:tr>
    </w:tbl>
    <w:p>
      <w:pPr>
        <w:spacing w:beforeLines="100" w:line="440" w:lineRule="exact"/>
        <w:ind w:firstLine="480"/>
        <w:jc w:val="left"/>
        <w:rPr>
          <w:rFonts w:cs="仿宋_GB2312" w:asciiTheme="minorEastAsia" w:hAnsiTheme="minorEastAsia" w:eastAsiaTheme="minorEastAsia"/>
          <w:sz w:val="24"/>
          <w:szCs w:val="24"/>
        </w:rPr>
      </w:pPr>
      <w:r>
        <w:rPr>
          <w:rFonts w:hint="eastAsia" w:cs="宋体" w:asciiTheme="minorEastAsia" w:hAnsiTheme="minorEastAsia" w:eastAsiaTheme="minorEastAsia"/>
          <w:kern w:val="0"/>
          <w:sz w:val="24"/>
          <w:szCs w:val="24"/>
        </w:rPr>
        <w:t>注：1.</w:t>
      </w:r>
      <w:r>
        <w:rPr>
          <w:rFonts w:hint="eastAsia" w:cs="仿宋_GB2312" w:asciiTheme="minorEastAsia" w:hAnsiTheme="minorEastAsia" w:eastAsiaTheme="minorEastAsia"/>
          <w:sz w:val="24"/>
          <w:szCs w:val="24"/>
        </w:rPr>
        <w:t>报价以人民币元为单位，保留小数点后两位。</w:t>
      </w:r>
    </w:p>
    <w:p>
      <w:pPr>
        <w:spacing w:line="440" w:lineRule="exact"/>
        <w:ind w:firstLine="960" w:firstLineChars="400"/>
        <w:jc w:val="left"/>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2.本表格须附在正副本的竞投文件中。</w:t>
      </w:r>
    </w:p>
    <w:p>
      <w:pPr>
        <w:spacing w:line="440" w:lineRule="exact"/>
        <w:ind w:firstLine="480"/>
        <w:jc w:val="left"/>
        <w:rPr>
          <w:rFonts w:asciiTheme="minorEastAsia" w:hAnsiTheme="minorEastAsia" w:eastAsiaTheme="minorEastAsia"/>
          <w:sz w:val="24"/>
          <w:szCs w:val="24"/>
        </w:rPr>
      </w:pPr>
    </w:p>
    <w:p>
      <w:pPr>
        <w:ind w:firstLine="480"/>
        <w:rPr>
          <w:rFonts w:asciiTheme="minorEastAsia" w:hAnsiTheme="minorEastAsia" w:eastAsiaTheme="minorEastAsia"/>
          <w:bCs/>
          <w:sz w:val="24"/>
          <w:szCs w:val="24"/>
        </w:rPr>
      </w:pPr>
    </w:p>
    <w:p>
      <w:pPr>
        <w:ind w:firstLine="480"/>
        <w:rPr>
          <w:rFonts w:asciiTheme="minorEastAsia" w:hAnsiTheme="minorEastAsia" w:eastAsiaTheme="minorEastAsia"/>
          <w:bCs/>
          <w:sz w:val="24"/>
        </w:rPr>
      </w:pPr>
      <w:r>
        <w:rPr>
          <w:rFonts w:hint="eastAsia" w:asciiTheme="minorEastAsia" w:hAnsiTheme="minorEastAsia" w:eastAsiaTheme="minorEastAsia"/>
          <w:bCs/>
          <w:sz w:val="24"/>
          <w:szCs w:val="24"/>
        </w:rPr>
        <w:t>竞投人全称（公章）:</w:t>
      </w:r>
    </w:p>
    <w:p>
      <w:pPr>
        <w:ind w:firstLine="480"/>
        <w:rPr>
          <w:rFonts w:asciiTheme="minorEastAsia" w:hAnsiTheme="minorEastAsia" w:eastAsiaTheme="minorEastAsia"/>
          <w:bCs/>
          <w:sz w:val="24"/>
        </w:rPr>
      </w:pPr>
    </w:p>
    <w:p>
      <w:pPr>
        <w:tabs>
          <w:tab w:val="left" w:pos="3600"/>
        </w:tabs>
        <w:ind w:firstLine="480"/>
        <w:rPr>
          <w:rFonts w:asciiTheme="minorEastAsia" w:hAnsiTheme="minorEastAsia" w:eastAsiaTheme="minorEastAsia"/>
          <w:bCs/>
          <w:sz w:val="24"/>
        </w:rPr>
      </w:pPr>
      <w:r>
        <w:rPr>
          <w:rFonts w:hint="eastAsia" w:asciiTheme="minorEastAsia" w:hAnsiTheme="minorEastAsia" w:eastAsiaTheme="minorEastAsia"/>
          <w:bCs/>
          <w:sz w:val="24"/>
          <w:szCs w:val="24"/>
        </w:rPr>
        <w:t>法定代表人或其竞投人授权代表(</w:t>
      </w:r>
      <w:r>
        <w:rPr>
          <w:rFonts w:hint="eastAsia" w:asciiTheme="minorEastAsia" w:hAnsiTheme="minorEastAsia" w:eastAsiaTheme="minorEastAsia"/>
          <w:sz w:val="24"/>
          <w:szCs w:val="24"/>
        </w:rPr>
        <w:t>签字</w:t>
      </w:r>
      <w:r>
        <w:rPr>
          <w:rFonts w:hint="eastAsia" w:asciiTheme="minorEastAsia" w:hAnsiTheme="minorEastAsia" w:eastAsiaTheme="minorEastAsia"/>
          <w:bCs/>
          <w:sz w:val="24"/>
          <w:szCs w:val="24"/>
        </w:rPr>
        <w:t>)：</w:t>
      </w:r>
    </w:p>
    <w:p>
      <w:pPr>
        <w:tabs>
          <w:tab w:val="left" w:pos="3600"/>
        </w:tabs>
        <w:ind w:firstLine="480"/>
        <w:rPr>
          <w:rFonts w:asciiTheme="minorEastAsia" w:hAnsiTheme="minorEastAsia" w:eastAsiaTheme="minorEastAsia"/>
          <w:bCs/>
          <w:sz w:val="24"/>
        </w:rPr>
      </w:pPr>
    </w:p>
    <w:p>
      <w:pPr>
        <w:tabs>
          <w:tab w:val="left" w:pos="3600"/>
        </w:tabs>
        <w:ind w:firstLine="480"/>
        <w:rPr>
          <w:rFonts w:ascii="宋体" w:hAnsi="宋体"/>
          <w:b/>
          <w:sz w:val="30"/>
          <w:szCs w:val="30"/>
        </w:rPr>
      </w:pPr>
      <w:r>
        <w:rPr>
          <w:rFonts w:hint="eastAsia" w:asciiTheme="minorEastAsia" w:hAnsiTheme="minorEastAsia" w:eastAsiaTheme="minorEastAsia"/>
          <w:bCs/>
          <w:sz w:val="24"/>
          <w:szCs w:val="24"/>
        </w:rPr>
        <w:t>日    期：    年  月  日</w:t>
      </w:r>
      <w:r>
        <w:rPr>
          <w:rFonts w:ascii="宋体" w:hAnsi="宋体"/>
          <w:b/>
          <w:sz w:val="30"/>
          <w:szCs w:val="30"/>
        </w:rPr>
        <w:br w:type="page"/>
      </w:r>
    </w:p>
    <w:p>
      <w:pPr>
        <w:rPr>
          <w:rFonts w:ascii="宋体" w:hAnsi="宋体"/>
          <w:b/>
          <w:sz w:val="30"/>
          <w:szCs w:val="30"/>
        </w:rPr>
      </w:pPr>
      <w:r>
        <w:rPr>
          <w:rFonts w:hint="eastAsia" w:ascii="宋体" w:hAnsi="宋体"/>
          <w:b/>
          <w:sz w:val="30"/>
          <w:szCs w:val="30"/>
        </w:rPr>
        <w:t>格式</w:t>
      </w:r>
      <w:bookmarkEnd w:id="133"/>
      <w:bookmarkEnd w:id="134"/>
      <w:bookmarkEnd w:id="135"/>
      <w:bookmarkStart w:id="136" w:name="_Toc223939104"/>
      <w:bookmarkEnd w:id="136"/>
      <w:bookmarkStart w:id="137" w:name="_Toc427828617"/>
      <w:bookmarkStart w:id="138" w:name="_Toc427828567"/>
      <w:r>
        <w:rPr>
          <w:rFonts w:hint="eastAsia" w:ascii="宋体" w:hAnsi="宋体"/>
          <w:b/>
          <w:sz w:val="30"/>
          <w:szCs w:val="30"/>
        </w:rPr>
        <w:t>4</w:t>
      </w:r>
    </w:p>
    <w:p>
      <w:pPr>
        <w:jc w:val="center"/>
        <w:rPr>
          <w:b/>
          <w:sz w:val="28"/>
          <w:szCs w:val="28"/>
        </w:rPr>
      </w:pPr>
      <w:bookmarkStart w:id="139" w:name="_Toc428434860"/>
      <w:r>
        <w:rPr>
          <w:rFonts w:hint="eastAsia"/>
          <w:b/>
          <w:sz w:val="28"/>
          <w:szCs w:val="28"/>
        </w:rPr>
        <w:t>法定代表人证明及授权书</w:t>
      </w:r>
      <w:bookmarkEnd w:id="137"/>
      <w:bookmarkEnd w:id="138"/>
      <w:bookmarkEnd w:id="139"/>
    </w:p>
    <w:p>
      <w:pPr>
        <w:rPr>
          <w:rFonts w:ascii="Times New Roman" w:hAnsi="Times New Roman"/>
        </w:rPr>
      </w:pPr>
    </w:p>
    <w:p>
      <w:pPr>
        <w:spacing w:line="360" w:lineRule="auto"/>
        <w:rPr>
          <w:rFonts w:ascii="宋体" w:hAnsi="宋体" w:cs="宋体"/>
          <w:sz w:val="24"/>
        </w:rPr>
      </w:pPr>
      <w:r>
        <w:rPr>
          <w:rFonts w:hint="eastAsia" w:ascii="宋体" w:hAnsi="宋体" w:cs="宋体"/>
          <w:sz w:val="24"/>
          <w:szCs w:val="24"/>
        </w:rPr>
        <w:t>致:</w:t>
      </w:r>
      <w:r>
        <w:rPr>
          <w:rFonts w:hint="eastAsia" w:ascii="宋体" w:hAnsi="宋体" w:cs="宋体"/>
          <w:bCs/>
          <w:kern w:val="0"/>
          <w:sz w:val="24"/>
          <w:szCs w:val="24"/>
        </w:rPr>
        <w:t>广州市城投资产经营管理有限公司珠江新城分公司</w:t>
      </w:r>
      <w:r>
        <w:rPr>
          <w:rFonts w:hint="eastAsia" w:ascii="宋体" w:hAnsi="宋体" w:cs="宋体"/>
          <w:sz w:val="24"/>
          <w:szCs w:val="24"/>
        </w:rPr>
        <w:tab/>
      </w:r>
    </w:p>
    <w:p>
      <w:pPr>
        <w:spacing w:line="360" w:lineRule="auto"/>
        <w:ind w:firstLine="480" w:firstLineChars="200"/>
        <w:rPr>
          <w:rFonts w:ascii="宋体" w:hAnsi="宋体" w:cs="宋体"/>
          <w:sz w:val="24"/>
        </w:rPr>
      </w:pPr>
      <w:r>
        <w:rPr>
          <w:rFonts w:hint="eastAsia" w:ascii="宋体" w:hAnsi="宋体" w:cs="宋体"/>
          <w:sz w:val="24"/>
          <w:szCs w:val="24"/>
        </w:rPr>
        <w:t>本授权证明：</w:t>
      </w:r>
      <w:r>
        <w:rPr>
          <w:rFonts w:hint="eastAsia" w:ascii="宋体" w:hAnsi="宋体" w:cs="宋体"/>
          <w:sz w:val="24"/>
          <w:szCs w:val="24"/>
          <w:u w:val="single"/>
        </w:rPr>
        <w:t xml:space="preserve">（法定代表人） </w:t>
      </w:r>
      <w:r>
        <w:rPr>
          <w:rFonts w:hint="eastAsia" w:ascii="宋体" w:hAnsi="宋体" w:cs="宋体"/>
          <w:sz w:val="24"/>
          <w:szCs w:val="24"/>
        </w:rPr>
        <w:t>是注册于</w:t>
      </w:r>
      <w:r>
        <w:rPr>
          <w:rFonts w:hint="eastAsia" w:ascii="宋体" w:hAnsi="宋体" w:cs="宋体"/>
          <w:sz w:val="24"/>
          <w:szCs w:val="24"/>
          <w:u w:val="single"/>
        </w:rPr>
        <w:t xml:space="preserve"> （地点） </w:t>
      </w:r>
      <w:r>
        <w:rPr>
          <w:rFonts w:hint="eastAsia" w:ascii="宋体" w:hAnsi="宋体" w:cs="宋体"/>
          <w:sz w:val="24"/>
          <w:szCs w:val="24"/>
        </w:rPr>
        <w:t>的</w:t>
      </w:r>
      <w:r>
        <w:rPr>
          <w:rFonts w:hint="eastAsia" w:ascii="宋体" w:hAnsi="宋体" w:cs="宋体"/>
          <w:sz w:val="24"/>
          <w:szCs w:val="24"/>
          <w:u w:val="single"/>
        </w:rPr>
        <w:t xml:space="preserve"> （单位名称） </w:t>
      </w:r>
      <w:r>
        <w:rPr>
          <w:rFonts w:hint="eastAsia" w:ascii="宋体" w:hAnsi="宋体" w:cs="宋体"/>
          <w:sz w:val="24"/>
          <w:szCs w:val="24"/>
        </w:rPr>
        <w:t>的法定代表人，现任</w:t>
      </w:r>
      <w:r>
        <w:rPr>
          <w:rFonts w:hint="eastAsia" w:ascii="宋体" w:hAnsi="宋体" w:cs="宋体"/>
          <w:sz w:val="24"/>
          <w:szCs w:val="24"/>
          <w:u w:val="single"/>
        </w:rPr>
        <w:t xml:space="preserve"> （职务） </w:t>
      </w:r>
      <w:r>
        <w:rPr>
          <w:rFonts w:hint="eastAsia" w:ascii="宋体" w:hAnsi="宋体" w:cs="宋体"/>
          <w:sz w:val="24"/>
          <w:szCs w:val="24"/>
        </w:rPr>
        <w:t>。在此授权</w:t>
      </w:r>
      <w:r>
        <w:rPr>
          <w:rFonts w:hint="eastAsia" w:ascii="宋体" w:hAnsi="宋体" w:cs="宋体"/>
          <w:sz w:val="24"/>
          <w:szCs w:val="24"/>
          <w:u w:val="single"/>
        </w:rPr>
        <w:t xml:space="preserve">              </w:t>
      </w:r>
      <w:r>
        <w:rPr>
          <w:rFonts w:hint="eastAsia" w:ascii="宋体" w:hAnsi="宋体" w:cs="宋体"/>
          <w:sz w:val="24"/>
          <w:szCs w:val="24"/>
        </w:rPr>
        <w:t>作为我公司的全权代理人，</w:t>
      </w:r>
      <w:r>
        <w:rPr>
          <w:rFonts w:hint="eastAsia" w:ascii="宋体" w:hAnsi="宋体" w:cs="宋体"/>
          <w:color w:val="auto"/>
          <w:sz w:val="24"/>
          <w:szCs w:val="24"/>
        </w:rPr>
        <w:t>在</w:t>
      </w:r>
      <w:r>
        <w:rPr>
          <w:rFonts w:hint="eastAsia" w:ascii="宋体" w:hAnsi="宋体" w:cs="宋体"/>
          <w:color w:val="auto"/>
          <w:sz w:val="24"/>
          <w:u w:val="single"/>
        </w:rPr>
        <w:t>花城汇商业区LED屏2023年度维修保养服务采购项目</w:t>
      </w:r>
      <w:r>
        <w:rPr>
          <w:rFonts w:hint="eastAsia" w:ascii="宋体" w:hAnsi="宋体" w:cs="宋体"/>
          <w:sz w:val="24"/>
          <w:szCs w:val="24"/>
        </w:rPr>
        <w:t>的竞选及其合同执行过程中，以我公司的名义处理一切与之有关的事务。</w:t>
      </w:r>
    </w:p>
    <w:p>
      <w:pPr>
        <w:spacing w:line="360" w:lineRule="auto"/>
        <w:ind w:firstLine="480" w:firstLineChars="200"/>
        <w:rPr>
          <w:rFonts w:ascii="宋体" w:hAnsi="宋体" w:cs="宋体"/>
          <w:sz w:val="24"/>
          <w:szCs w:val="24"/>
        </w:rPr>
      </w:pPr>
      <w:r>
        <w:rPr>
          <w:rFonts w:hint="eastAsia" w:ascii="宋体" w:hAnsi="宋体" w:cs="宋体"/>
          <w:sz w:val="24"/>
          <w:szCs w:val="24"/>
        </w:rPr>
        <w:t>本授权书于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日签字生效，特此声明。</w:t>
      </w:r>
    </w:p>
    <w:p>
      <w:pPr>
        <w:spacing w:line="360" w:lineRule="auto"/>
        <w:ind w:firstLine="480" w:firstLineChars="200"/>
        <w:rPr>
          <w:rFonts w:ascii="宋体" w:hAnsi="宋体" w:cs="宋体"/>
          <w:sz w:val="24"/>
          <w:szCs w:val="24"/>
        </w:rPr>
      </w:pPr>
      <w:r>
        <w:rPr>
          <w:rFonts w:hint="eastAsia" w:ascii="宋体" w:hAnsi="宋体" w:cs="宋体"/>
          <w:sz w:val="24"/>
          <w:szCs w:val="24"/>
        </w:rPr>
        <w:t>有效期限：投标文件递交截止日起往后90日历日。</w:t>
      </w:r>
    </w:p>
    <w:p>
      <w:pPr>
        <w:spacing w:line="360" w:lineRule="auto"/>
        <w:ind w:firstLine="480" w:firstLineChars="200"/>
        <w:rPr>
          <w:rFonts w:ascii="Times New Roman" w:hAnsi="Times New Roman"/>
          <w:sz w:val="24"/>
        </w:rPr>
      </w:pPr>
    </w:p>
    <w:p>
      <w:pPr>
        <w:ind w:firstLine="480"/>
        <w:rPr>
          <w:rFonts w:ascii="Times New Roman" w:hAnsi="Times New Roman"/>
          <w:sz w:val="24"/>
        </w:rPr>
      </w:pPr>
    </w:p>
    <w:p>
      <w:pPr>
        <w:ind w:firstLine="120" w:firstLineChars="50"/>
        <w:rPr>
          <w:rFonts w:ascii="Times New Roman" w:hAnsi="Times New Roman"/>
          <w:sz w:val="24"/>
        </w:rPr>
      </w:pPr>
    </w:p>
    <w:p>
      <w:pPr>
        <w:ind w:firstLine="480"/>
        <w:rPr>
          <w:rFonts w:ascii="Times New Roman" w:hAnsi="Times New Roman"/>
          <w:bCs/>
          <w:sz w:val="24"/>
        </w:rPr>
      </w:pPr>
      <w:r>
        <w:rPr>
          <w:rFonts w:hint="eastAsia" w:ascii="Times New Roman" w:hAnsi="Times New Roman"/>
          <w:bCs/>
          <w:sz w:val="24"/>
          <w:szCs w:val="24"/>
        </w:rPr>
        <w:t>竞投人全称（公章）:</w:t>
      </w:r>
    </w:p>
    <w:p>
      <w:pPr>
        <w:ind w:firstLine="480"/>
        <w:rPr>
          <w:rFonts w:ascii="Times New Roman" w:hAnsi="Times New Roman"/>
          <w:bCs/>
          <w:sz w:val="24"/>
        </w:rPr>
      </w:pPr>
    </w:p>
    <w:p>
      <w:pPr>
        <w:tabs>
          <w:tab w:val="left" w:pos="3600"/>
        </w:tabs>
        <w:ind w:firstLine="480"/>
        <w:rPr>
          <w:rFonts w:ascii="Times New Roman" w:hAnsi="Times New Roman"/>
          <w:bCs/>
          <w:sz w:val="24"/>
        </w:rPr>
      </w:pPr>
      <w:r>
        <w:rPr>
          <w:rFonts w:hint="eastAsia" w:ascii="Times New Roman" w:hAnsi="Times New Roman"/>
          <w:bCs/>
          <w:sz w:val="24"/>
          <w:szCs w:val="24"/>
        </w:rPr>
        <w:t>法定代表人或其竞投人授权代表(</w:t>
      </w:r>
      <w:r>
        <w:rPr>
          <w:rFonts w:hint="eastAsia" w:ascii="Times New Roman" w:hAnsi="Times New Roman"/>
          <w:sz w:val="24"/>
          <w:szCs w:val="24"/>
        </w:rPr>
        <w:t>签字</w:t>
      </w:r>
      <w:r>
        <w:rPr>
          <w:rFonts w:hint="eastAsia" w:ascii="Times New Roman" w:hAnsi="Times New Roman"/>
          <w:bCs/>
          <w:sz w:val="24"/>
          <w:szCs w:val="24"/>
        </w:rPr>
        <w:t>)：</w:t>
      </w:r>
    </w:p>
    <w:p>
      <w:pPr>
        <w:tabs>
          <w:tab w:val="left" w:pos="3600"/>
        </w:tabs>
        <w:ind w:firstLine="480"/>
        <w:rPr>
          <w:rFonts w:ascii="Times New Roman" w:hAnsi="Times New Roman"/>
          <w:bCs/>
          <w:sz w:val="24"/>
        </w:rPr>
      </w:pPr>
    </w:p>
    <w:p>
      <w:pPr>
        <w:tabs>
          <w:tab w:val="left" w:pos="3600"/>
        </w:tabs>
        <w:ind w:firstLine="480"/>
        <w:rPr>
          <w:rFonts w:ascii="宋体" w:hAnsi="宋体"/>
          <w:sz w:val="24"/>
        </w:rPr>
      </w:pPr>
      <w:r>
        <w:rPr>
          <w:rFonts w:hint="eastAsia" w:ascii="宋体" w:hAnsi="宋体"/>
          <w:bCs/>
          <w:sz w:val="24"/>
          <w:szCs w:val="24"/>
        </w:rPr>
        <w:t>日    期：    年  月  日</w:t>
      </w:r>
    </w:p>
    <w:p>
      <w:pPr>
        <w:ind w:firstLine="120" w:firstLineChars="50"/>
        <w:rPr>
          <w:rFonts w:ascii="宋体" w:hAnsi="宋体"/>
          <w:sz w:val="24"/>
        </w:rPr>
      </w:pPr>
    </w:p>
    <w:p>
      <w:pPr>
        <w:ind w:firstLine="120" w:firstLineChars="50"/>
        <w:rPr>
          <w:rFonts w:ascii="宋体" w:hAnsi="宋体"/>
          <w:sz w:val="24"/>
        </w:rPr>
      </w:pP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74" w:hRule="atLeast"/>
          <w:jc w:val="center"/>
        </w:trPr>
        <w:tc>
          <w:tcPr>
            <w:tcW w:w="6105" w:type="dxa"/>
            <w:vAlign w:val="center"/>
          </w:tcPr>
          <w:p>
            <w:pPr>
              <w:ind w:firstLine="1455" w:firstLineChars="604"/>
              <w:rPr>
                <w:rFonts w:ascii="宋体" w:hAnsi="宋体" w:cs="黑体"/>
                <w:b/>
                <w:sz w:val="24"/>
              </w:rPr>
            </w:pPr>
            <w:r>
              <w:rPr>
                <w:rFonts w:hint="eastAsia" w:ascii="宋体" w:hAnsi="宋体" w:cs="黑体"/>
                <w:b/>
                <w:sz w:val="24"/>
                <w:szCs w:val="24"/>
              </w:rPr>
              <w:t>被授权人(竞投人授权代表)</w:t>
            </w:r>
          </w:p>
          <w:p>
            <w:pPr>
              <w:ind w:firstLine="1573" w:firstLineChars="653"/>
              <w:rPr>
                <w:rFonts w:ascii="宋体" w:hAnsi="宋体" w:cs="黑体"/>
                <w:sz w:val="24"/>
              </w:rPr>
            </w:pPr>
            <w:r>
              <w:rPr>
                <w:rFonts w:hint="eastAsia" w:ascii="宋体" w:hAnsi="宋体" w:cs="黑体"/>
                <w:b/>
                <w:sz w:val="24"/>
                <w:szCs w:val="24"/>
              </w:rPr>
              <w:t>居民身份证复印件粘贴处</w:t>
            </w:r>
          </w:p>
        </w:tc>
      </w:tr>
    </w:tbl>
    <w:p>
      <w:pPr>
        <w:rPr>
          <w:rFonts w:ascii="宋体" w:hAnsi="宋体"/>
          <w:b/>
          <w:sz w:val="30"/>
          <w:szCs w:val="30"/>
        </w:rPr>
      </w:pPr>
      <w:bookmarkStart w:id="140" w:name="_Toc334797774"/>
      <w:r>
        <w:br w:type="page"/>
      </w:r>
      <w:bookmarkStart w:id="141" w:name="_Toc427828568"/>
      <w:bookmarkStart w:id="142" w:name="_Toc427828618"/>
      <w:r>
        <w:rPr>
          <w:rFonts w:hint="eastAsia" w:ascii="宋体" w:hAnsi="宋体"/>
          <w:b/>
          <w:sz w:val="30"/>
          <w:szCs w:val="30"/>
        </w:rPr>
        <w:t>格式5</w:t>
      </w:r>
    </w:p>
    <w:p>
      <w:pPr>
        <w:jc w:val="center"/>
        <w:rPr>
          <w:b/>
          <w:sz w:val="28"/>
          <w:szCs w:val="28"/>
        </w:rPr>
      </w:pPr>
      <w:r>
        <w:rPr>
          <w:rFonts w:hint="eastAsia"/>
          <w:b/>
          <w:sz w:val="28"/>
          <w:szCs w:val="28"/>
        </w:rPr>
        <w:t>资格证明文件</w:t>
      </w:r>
    </w:p>
    <w:p>
      <w:pPr>
        <w:pStyle w:val="29"/>
        <w:spacing w:line="360" w:lineRule="auto"/>
        <w:ind w:firstLine="0"/>
        <w:rPr>
          <w:rFonts w:ascii="宋体" w:hAnsi="宋体" w:eastAsia="宋体" w:cs="宋体"/>
          <w:color w:val="auto"/>
          <w:sz w:val="24"/>
          <w:szCs w:val="24"/>
        </w:rPr>
      </w:pPr>
      <w:r>
        <w:rPr>
          <w:rFonts w:hint="eastAsia" w:ascii="宋体" w:hAnsi="宋体" w:eastAsia="宋体" w:cs="宋体"/>
          <w:color w:val="auto"/>
          <w:sz w:val="24"/>
          <w:szCs w:val="24"/>
        </w:rPr>
        <w:t>营业执照（副本）</w:t>
      </w:r>
    </w:p>
    <w:tbl>
      <w:tblPr>
        <w:tblStyle w:val="16"/>
        <w:tblW w:w="0" w:type="auto"/>
        <w:jc w:val="center"/>
        <w:tblLayout w:type="fixed"/>
        <w:tblCellMar>
          <w:top w:w="0" w:type="dxa"/>
          <w:left w:w="108" w:type="dxa"/>
          <w:bottom w:w="0" w:type="dxa"/>
          <w:right w:w="108" w:type="dxa"/>
        </w:tblCellMar>
      </w:tblPr>
      <w:tblGrid>
        <w:gridCol w:w="8318"/>
      </w:tblGrid>
      <w:tr>
        <w:tblPrEx>
          <w:tblCellMar>
            <w:top w:w="0" w:type="dxa"/>
            <w:left w:w="108" w:type="dxa"/>
            <w:bottom w:w="0" w:type="dxa"/>
            <w:right w:w="108" w:type="dxa"/>
          </w:tblCellMar>
        </w:tblPrEx>
        <w:trPr>
          <w:cantSplit/>
          <w:trHeight w:val="10118" w:hRule="atLeast"/>
          <w:jc w:val="center"/>
        </w:trPr>
        <w:tc>
          <w:tcPr>
            <w:tcW w:w="831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360" w:lineRule="auto"/>
              <w:ind w:firstLine="560"/>
              <w:rPr>
                <w:rFonts w:ascii="宋体" w:hAnsi="宋体" w:cs="宋体"/>
              </w:rPr>
            </w:pPr>
          </w:p>
        </w:tc>
      </w:tr>
    </w:tbl>
    <w:p>
      <w:pPr>
        <w:pStyle w:val="29"/>
        <w:spacing w:line="360" w:lineRule="auto"/>
        <w:rPr>
          <w:rFonts w:ascii="宋体" w:hAnsi="宋体" w:eastAsia="宋体" w:cs="宋体"/>
          <w:color w:val="auto"/>
        </w:rPr>
      </w:pPr>
    </w:p>
    <w:p>
      <w:pPr>
        <w:ind w:firstLine="480"/>
        <w:rPr>
          <w:rFonts w:ascii="宋体" w:hAnsi="宋体"/>
          <w:sz w:val="24"/>
          <w:szCs w:val="24"/>
        </w:rPr>
      </w:pPr>
    </w:p>
    <w:p>
      <w:pPr>
        <w:widowControl/>
        <w:ind w:firstLine="480"/>
        <w:jc w:val="left"/>
        <w:rPr>
          <w:rFonts w:ascii="宋体" w:hAnsi="宋体"/>
          <w:sz w:val="24"/>
          <w:szCs w:val="24"/>
        </w:rPr>
      </w:pPr>
    </w:p>
    <w:p>
      <w:pPr>
        <w:widowControl/>
        <w:ind w:firstLine="480"/>
        <w:jc w:val="left"/>
        <w:rPr>
          <w:rFonts w:ascii="宋体" w:hAnsi="宋体"/>
          <w:sz w:val="24"/>
          <w:szCs w:val="24"/>
        </w:rPr>
      </w:pPr>
    </w:p>
    <w:p>
      <w:pPr>
        <w:widowControl/>
        <w:ind w:firstLine="480"/>
        <w:jc w:val="left"/>
        <w:rPr>
          <w:rFonts w:ascii="宋体" w:hAnsi="宋体"/>
          <w:sz w:val="24"/>
          <w:szCs w:val="24"/>
        </w:rPr>
      </w:pPr>
    </w:p>
    <w:p>
      <w:pPr>
        <w:rPr>
          <w:rFonts w:ascii="宋体" w:hAnsi="宋体"/>
          <w:b/>
          <w:sz w:val="30"/>
          <w:szCs w:val="30"/>
        </w:rPr>
      </w:pPr>
      <w:r>
        <w:rPr>
          <w:rFonts w:hint="eastAsia" w:ascii="宋体" w:hAnsi="宋体"/>
          <w:b/>
          <w:sz w:val="30"/>
          <w:szCs w:val="30"/>
        </w:rPr>
        <w:t>格式</w:t>
      </w:r>
      <w:bookmarkStart w:id="143" w:name="_Toc427828619"/>
      <w:bookmarkStart w:id="144" w:name="_Toc428434861"/>
      <w:bookmarkStart w:id="145" w:name="_Toc427828569"/>
      <w:r>
        <w:rPr>
          <w:rFonts w:hint="eastAsia" w:ascii="宋体" w:hAnsi="宋体"/>
          <w:b/>
          <w:sz w:val="30"/>
          <w:szCs w:val="30"/>
        </w:rPr>
        <w:t>6</w:t>
      </w:r>
    </w:p>
    <w:bookmarkEnd w:id="143"/>
    <w:bookmarkEnd w:id="144"/>
    <w:bookmarkEnd w:id="145"/>
    <w:p>
      <w:pPr>
        <w:jc w:val="center"/>
        <w:rPr>
          <w:b/>
          <w:color w:val="auto"/>
          <w:sz w:val="28"/>
          <w:szCs w:val="28"/>
        </w:rPr>
      </w:pPr>
      <w:r>
        <w:rPr>
          <w:rFonts w:hint="eastAsia"/>
          <w:b/>
          <w:color w:val="auto"/>
          <w:sz w:val="28"/>
          <w:szCs w:val="28"/>
        </w:rPr>
        <w:t>2019年1月1日至今承接过LED显示屏的维保或新建项目一览表</w:t>
      </w:r>
    </w:p>
    <w:p>
      <w:pPr>
        <w:ind w:firstLine="480"/>
        <w:rPr>
          <w:rFonts w:ascii="Times New Roman" w:hAnsi="Times New Roman"/>
          <w:sz w:val="24"/>
        </w:rPr>
      </w:pPr>
    </w:p>
    <w:tbl>
      <w:tblPr>
        <w:tblStyle w:val="16"/>
        <w:tblW w:w="8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112"/>
        <w:gridCol w:w="2491"/>
        <w:gridCol w:w="1276"/>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54" w:type="dxa"/>
            <w:vAlign w:val="center"/>
          </w:tcPr>
          <w:p>
            <w:pPr>
              <w:jc w:val="center"/>
              <w:rPr>
                <w:rFonts w:ascii="Times New Roman" w:hAnsi="Times New Roman"/>
                <w:bCs/>
                <w:sz w:val="24"/>
              </w:rPr>
            </w:pPr>
            <w:r>
              <w:rPr>
                <w:rFonts w:hint="eastAsia" w:ascii="Times New Roman" w:hAnsi="Times New Roman"/>
                <w:bCs/>
                <w:sz w:val="24"/>
                <w:szCs w:val="24"/>
              </w:rPr>
              <w:t>序号</w:t>
            </w:r>
          </w:p>
        </w:tc>
        <w:tc>
          <w:tcPr>
            <w:tcW w:w="2112" w:type="dxa"/>
            <w:vAlign w:val="center"/>
          </w:tcPr>
          <w:p>
            <w:pPr>
              <w:jc w:val="center"/>
              <w:rPr>
                <w:rFonts w:ascii="Times New Roman" w:hAnsi="Times New Roman"/>
                <w:bCs/>
                <w:sz w:val="24"/>
              </w:rPr>
            </w:pPr>
            <w:r>
              <w:rPr>
                <w:rFonts w:hint="eastAsia" w:ascii="Times New Roman" w:hAnsi="Times New Roman"/>
                <w:bCs/>
                <w:sz w:val="24"/>
                <w:szCs w:val="24"/>
              </w:rPr>
              <w:t>项目名称</w:t>
            </w:r>
          </w:p>
        </w:tc>
        <w:tc>
          <w:tcPr>
            <w:tcW w:w="2491" w:type="dxa"/>
            <w:vAlign w:val="center"/>
          </w:tcPr>
          <w:p>
            <w:pPr>
              <w:jc w:val="center"/>
              <w:rPr>
                <w:rFonts w:ascii="Times New Roman" w:hAnsi="Times New Roman"/>
                <w:bCs/>
                <w:sz w:val="24"/>
              </w:rPr>
            </w:pPr>
            <w:r>
              <w:rPr>
                <w:rFonts w:hint="eastAsia" w:ascii="Times New Roman" w:hAnsi="Times New Roman"/>
                <w:bCs/>
                <w:sz w:val="24"/>
                <w:szCs w:val="24"/>
              </w:rPr>
              <w:t>项目性质（填写“建设”或“维保”）</w:t>
            </w:r>
          </w:p>
        </w:tc>
        <w:tc>
          <w:tcPr>
            <w:tcW w:w="1276" w:type="dxa"/>
            <w:vAlign w:val="center"/>
          </w:tcPr>
          <w:p>
            <w:pPr>
              <w:jc w:val="center"/>
              <w:rPr>
                <w:rFonts w:ascii="Times New Roman" w:hAnsi="Times New Roman"/>
                <w:bCs/>
                <w:sz w:val="24"/>
              </w:rPr>
            </w:pPr>
            <w:r>
              <w:rPr>
                <w:rFonts w:hint="eastAsia" w:ascii="Times New Roman" w:hAnsi="Times New Roman"/>
                <w:bCs/>
                <w:sz w:val="24"/>
                <w:szCs w:val="24"/>
              </w:rPr>
              <w:t>合同金额（万元）</w:t>
            </w:r>
          </w:p>
        </w:tc>
        <w:tc>
          <w:tcPr>
            <w:tcW w:w="1478" w:type="dxa"/>
            <w:vAlign w:val="center"/>
          </w:tcPr>
          <w:p>
            <w:pPr>
              <w:jc w:val="center"/>
              <w:rPr>
                <w:rFonts w:ascii="Times New Roman" w:hAnsi="Times New Roman"/>
                <w:bCs/>
                <w:sz w:val="24"/>
                <w:szCs w:val="24"/>
              </w:rPr>
            </w:pPr>
            <w:r>
              <w:rPr>
                <w:rFonts w:hint="eastAsia" w:ascii="宋体" w:hAnsi="宋体" w:cs="宋体"/>
                <w:bCs/>
                <w:sz w:val="24"/>
                <w:szCs w:val="24"/>
              </w:rPr>
              <w:t>开始与结束时间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54" w:type="dxa"/>
            <w:vAlign w:val="center"/>
          </w:tcPr>
          <w:p>
            <w:pPr>
              <w:jc w:val="center"/>
              <w:rPr>
                <w:rFonts w:ascii="Times New Roman" w:hAnsi="Times New Roman"/>
                <w:sz w:val="24"/>
              </w:rPr>
            </w:pPr>
            <w:r>
              <w:rPr>
                <w:rFonts w:hint="eastAsia" w:ascii="Times New Roman" w:hAnsi="Times New Roman"/>
                <w:sz w:val="24"/>
                <w:szCs w:val="24"/>
              </w:rPr>
              <w:t>1</w:t>
            </w:r>
          </w:p>
        </w:tc>
        <w:tc>
          <w:tcPr>
            <w:tcW w:w="2112" w:type="dxa"/>
            <w:vAlign w:val="center"/>
          </w:tcPr>
          <w:p>
            <w:pPr>
              <w:jc w:val="center"/>
              <w:rPr>
                <w:rFonts w:ascii="Times New Roman" w:hAnsi="Times New Roman"/>
                <w:sz w:val="24"/>
              </w:rPr>
            </w:pPr>
          </w:p>
        </w:tc>
        <w:tc>
          <w:tcPr>
            <w:tcW w:w="2491" w:type="dxa"/>
            <w:vAlign w:val="center"/>
          </w:tcPr>
          <w:p>
            <w:pPr>
              <w:jc w:val="center"/>
              <w:rPr>
                <w:rFonts w:ascii="Times New Roman" w:hAnsi="Times New Roman"/>
                <w:sz w:val="24"/>
              </w:rPr>
            </w:pPr>
          </w:p>
        </w:tc>
        <w:tc>
          <w:tcPr>
            <w:tcW w:w="1276" w:type="dxa"/>
            <w:vAlign w:val="center"/>
          </w:tcPr>
          <w:p>
            <w:pPr>
              <w:jc w:val="center"/>
              <w:rPr>
                <w:rFonts w:ascii="Times New Roman" w:hAnsi="Times New Roman"/>
                <w:sz w:val="24"/>
              </w:rPr>
            </w:pPr>
          </w:p>
        </w:tc>
        <w:tc>
          <w:tcPr>
            <w:tcW w:w="1478" w:type="dxa"/>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54" w:type="dxa"/>
            <w:vAlign w:val="center"/>
          </w:tcPr>
          <w:p>
            <w:pPr>
              <w:jc w:val="center"/>
              <w:rPr>
                <w:rFonts w:ascii="Times New Roman" w:hAnsi="Times New Roman"/>
                <w:sz w:val="24"/>
              </w:rPr>
            </w:pPr>
            <w:r>
              <w:rPr>
                <w:rFonts w:hint="eastAsia" w:ascii="Times New Roman" w:hAnsi="Times New Roman"/>
                <w:sz w:val="24"/>
                <w:szCs w:val="24"/>
              </w:rPr>
              <w:t>2</w:t>
            </w:r>
          </w:p>
        </w:tc>
        <w:tc>
          <w:tcPr>
            <w:tcW w:w="2112" w:type="dxa"/>
            <w:vAlign w:val="center"/>
          </w:tcPr>
          <w:p>
            <w:pPr>
              <w:jc w:val="center"/>
              <w:rPr>
                <w:rFonts w:ascii="Times New Roman" w:hAnsi="Times New Roman"/>
                <w:sz w:val="24"/>
              </w:rPr>
            </w:pPr>
          </w:p>
        </w:tc>
        <w:tc>
          <w:tcPr>
            <w:tcW w:w="2491" w:type="dxa"/>
            <w:vAlign w:val="center"/>
          </w:tcPr>
          <w:p>
            <w:pPr>
              <w:jc w:val="center"/>
              <w:rPr>
                <w:rFonts w:ascii="Times New Roman" w:hAnsi="Times New Roman"/>
                <w:sz w:val="24"/>
              </w:rPr>
            </w:pPr>
          </w:p>
        </w:tc>
        <w:tc>
          <w:tcPr>
            <w:tcW w:w="1276" w:type="dxa"/>
            <w:vAlign w:val="center"/>
          </w:tcPr>
          <w:p>
            <w:pPr>
              <w:jc w:val="center"/>
              <w:rPr>
                <w:rFonts w:ascii="Times New Roman" w:hAnsi="Times New Roman"/>
                <w:sz w:val="24"/>
              </w:rPr>
            </w:pPr>
          </w:p>
        </w:tc>
        <w:tc>
          <w:tcPr>
            <w:tcW w:w="1478" w:type="dxa"/>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54" w:type="dxa"/>
            <w:vAlign w:val="center"/>
          </w:tcPr>
          <w:p>
            <w:pPr>
              <w:jc w:val="center"/>
              <w:rPr>
                <w:rFonts w:ascii="Times New Roman" w:hAnsi="Times New Roman"/>
                <w:sz w:val="24"/>
              </w:rPr>
            </w:pPr>
            <w:r>
              <w:rPr>
                <w:rFonts w:hint="eastAsia" w:ascii="Times New Roman" w:hAnsi="Times New Roman"/>
                <w:sz w:val="24"/>
                <w:szCs w:val="24"/>
              </w:rPr>
              <w:t>3</w:t>
            </w:r>
          </w:p>
        </w:tc>
        <w:tc>
          <w:tcPr>
            <w:tcW w:w="2112" w:type="dxa"/>
            <w:vAlign w:val="center"/>
          </w:tcPr>
          <w:p>
            <w:pPr>
              <w:jc w:val="center"/>
              <w:rPr>
                <w:rFonts w:ascii="Times New Roman" w:hAnsi="Times New Roman"/>
                <w:sz w:val="24"/>
              </w:rPr>
            </w:pPr>
          </w:p>
        </w:tc>
        <w:tc>
          <w:tcPr>
            <w:tcW w:w="2491" w:type="dxa"/>
            <w:vAlign w:val="center"/>
          </w:tcPr>
          <w:p>
            <w:pPr>
              <w:jc w:val="center"/>
              <w:rPr>
                <w:rFonts w:ascii="Times New Roman" w:hAnsi="Times New Roman"/>
                <w:sz w:val="24"/>
              </w:rPr>
            </w:pPr>
          </w:p>
        </w:tc>
        <w:tc>
          <w:tcPr>
            <w:tcW w:w="1276" w:type="dxa"/>
            <w:vAlign w:val="center"/>
          </w:tcPr>
          <w:p>
            <w:pPr>
              <w:jc w:val="center"/>
              <w:rPr>
                <w:rFonts w:ascii="Times New Roman" w:hAnsi="Times New Roman"/>
                <w:sz w:val="24"/>
              </w:rPr>
            </w:pPr>
          </w:p>
        </w:tc>
        <w:tc>
          <w:tcPr>
            <w:tcW w:w="1478" w:type="dxa"/>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54" w:type="dxa"/>
            <w:vAlign w:val="center"/>
          </w:tcPr>
          <w:p>
            <w:pPr>
              <w:jc w:val="center"/>
              <w:rPr>
                <w:rFonts w:ascii="Times New Roman" w:hAnsi="Times New Roman"/>
                <w:sz w:val="24"/>
              </w:rPr>
            </w:pPr>
            <w:r>
              <w:rPr>
                <w:rFonts w:hint="eastAsia" w:ascii="Times New Roman" w:hAnsi="Times New Roman"/>
                <w:sz w:val="24"/>
                <w:szCs w:val="24"/>
              </w:rPr>
              <w:t>4</w:t>
            </w:r>
          </w:p>
        </w:tc>
        <w:tc>
          <w:tcPr>
            <w:tcW w:w="2112" w:type="dxa"/>
            <w:vAlign w:val="center"/>
          </w:tcPr>
          <w:p>
            <w:pPr>
              <w:jc w:val="center"/>
              <w:rPr>
                <w:rFonts w:ascii="Times New Roman" w:hAnsi="Times New Roman"/>
                <w:sz w:val="24"/>
              </w:rPr>
            </w:pPr>
          </w:p>
        </w:tc>
        <w:tc>
          <w:tcPr>
            <w:tcW w:w="2491" w:type="dxa"/>
            <w:vAlign w:val="center"/>
          </w:tcPr>
          <w:p>
            <w:pPr>
              <w:jc w:val="center"/>
              <w:rPr>
                <w:rFonts w:ascii="Times New Roman" w:hAnsi="Times New Roman"/>
                <w:sz w:val="24"/>
              </w:rPr>
            </w:pPr>
          </w:p>
        </w:tc>
        <w:tc>
          <w:tcPr>
            <w:tcW w:w="1276" w:type="dxa"/>
            <w:vAlign w:val="center"/>
          </w:tcPr>
          <w:p>
            <w:pPr>
              <w:jc w:val="center"/>
              <w:rPr>
                <w:rFonts w:ascii="Times New Roman" w:hAnsi="Times New Roman"/>
                <w:sz w:val="24"/>
              </w:rPr>
            </w:pPr>
          </w:p>
        </w:tc>
        <w:tc>
          <w:tcPr>
            <w:tcW w:w="1478" w:type="dxa"/>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54" w:type="dxa"/>
            <w:vAlign w:val="center"/>
          </w:tcPr>
          <w:p>
            <w:pPr>
              <w:jc w:val="center"/>
              <w:rPr>
                <w:rFonts w:ascii="Times New Roman" w:hAnsi="Times New Roman"/>
                <w:sz w:val="24"/>
              </w:rPr>
            </w:pPr>
            <w:r>
              <w:rPr>
                <w:rFonts w:hint="eastAsia" w:ascii="Times New Roman" w:hAnsi="Times New Roman"/>
                <w:sz w:val="24"/>
                <w:szCs w:val="24"/>
              </w:rPr>
              <w:t>5</w:t>
            </w:r>
          </w:p>
        </w:tc>
        <w:tc>
          <w:tcPr>
            <w:tcW w:w="2112" w:type="dxa"/>
            <w:vAlign w:val="center"/>
          </w:tcPr>
          <w:p>
            <w:pPr>
              <w:jc w:val="center"/>
              <w:rPr>
                <w:rFonts w:ascii="Times New Roman" w:hAnsi="Times New Roman"/>
                <w:sz w:val="24"/>
              </w:rPr>
            </w:pPr>
          </w:p>
        </w:tc>
        <w:tc>
          <w:tcPr>
            <w:tcW w:w="2491" w:type="dxa"/>
            <w:vAlign w:val="center"/>
          </w:tcPr>
          <w:p>
            <w:pPr>
              <w:jc w:val="center"/>
              <w:rPr>
                <w:rFonts w:ascii="Times New Roman" w:hAnsi="Times New Roman"/>
                <w:sz w:val="24"/>
              </w:rPr>
            </w:pPr>
          </w:p>
        </w:tc>
        <w:tc>
          <w:tcPr>
            <w:tcW w:w="1276" w:type="dxa"/>
            <w:vAlign w:val="center"/>
          </w:tcPr>
          <w:p>
            <w:pPr>
              <w:jc w:val="center"/>
              <w:rPr>
                <w:rFonts w:ascii="Times New Roman" w:hAnsi="Times New Roman"/>
                <w:sz w:val="24"/>
              </w:rPr>
            </w:pPr>
          </w:p>
        </w:tc>
        <w:tc>
          <w:tcPr>
            <w:tcW w:w="1478" w:type="dxa"/>
            <w:vAlign w:val="center"/>
          </w:tcPr>
          <w:p>
            <w:pPr>
              <w:jc w:val="center"/>
              <w:rPr>
                <w:rFonts w:ascii="Times New Roman" w:hAnsi="Times New Roman"/>
                <w:sz w:val="24"/>
              </w:rPr>
            </w:pPr>
          </w:p>
        </w:tc>
      </w:tr>
    </w:tbl>
    <w:p>
      <w:pPr>
        <w:spacing w:beforeLines="50"/>
        <w:ind w:left="480" w:hanging="480" w:hangingChars="200"/>
        <w:rPr>
          <w:rFonts w:ascii="Times New Roman" w:hAnsi="Times New Roman"/>
          <w:sz w:val="24"/>
        </w:rPr>
      </w:pPr>
      <w:r>
        <w:rPr>
          <w:rFonts w:hint="eastAsia" w:ascii="Times New Roman" w:hAnsi="Times New Roman"/>
          <w:sz w:val="24"/>
          <w:szCs w:val="24"/>
        </w:rPr>
        <w:t>注：请附上项目合同</w:t>
      </w:r>
      <w:r>
        <w:rPr>
          <w:rFonts w:hint="eastAsia" w:ascii="Times New Roman" w:hAnsi="Times New Roman"/>
          <w:sz w:val="24"/>
          <w:szCs w:val="24"/>
          <w:lang w:val="en-US" w:eastAsia="zh-CN"/>
        </w:rPr>
        <w:t>扫描件</w:t>
      </w:r>
      <w:r>
        <w:rPr>
          <w:rFonts w:hint="eastAsia" w:ascii="Times New Roman" w:hAnsi="Times New Roman"/>
          <w:sz w:val="24"/>
          <w:szCs w:val="24"/>
        </w:rPr>
        <w:t>，评审细则另有要求的，按评审细则提供。</w:t>
      </w:r>
    </w:p>
    <w:p>
      <w:pPr>
        <w:ind w:firstLine="480"/>
        <w:rPr>
          <w:rFonts w:ascii="Times New Roman" w:hAnsi="Times New Roman"/>
          <w:bCs/>
          <w:sz w:val="24"/>
        </w:rPr>
      </w:pPr>
      <w:bookmarkStart w:id="146" w:name="_Toc42951056"/>
      <w:bookmarkStart w:id="147" w:name="_Toc225565960"/>
      <w:bookmarkStart w:id="148" w:name="_Toc228644985"/>
      <w:bookmarkStart w:id="149" w:name="_Toc245819142"/>
      <w:bookmarkStart w:id="150" w:name="_Toc334797776"/>
      <w:bookmarkStart w:id="151" w:name="_Toc223939114"/>
      <w:bookmarkStart w:id="152" w:name="_Toc238282344"/>
      <w:bookmarkStart w:id="153" w:name="_Toc224435734"/>
      <w:bookmarkStart w:id="154" w:name="_Toc228899514"/>
    </w:p>
    <w:p>
      <w:pPr>
        <w:ind w:firstLine="480"/>
        <w:rPr>
          <w:rFonts w:ascii="Times New Roman" w:hAnsi="Times New Roman"/>
          <w:bCs/>
          <w:sz w:val="24"/>
        </w:rPr>
      </w:pPr>
    </w:p>
    <w:p>
      <w:pPr>
        <w:ind w:firstLine="480"/>
        <w:rPr>
          <w:rFonts w:ascii="Times New Roman" w:hAnsi="Times New Roman"/>
          <w:bCs/>
          <w:sz w:val="24"/>
        </w:rPr>
      </w:pPr>
    </w:p>
    <w:p>
      <w:pPr>
        <w:ind w:firstLine="480"/>
        <w:rPr>
          <w:rFonts w:ascii="Times New Roman" w:hAnsi="Times New Roman"/>
          <w:bCs/>
          <w:sz w:val="24"/>
        </w:rPr>
      </w:pPr>
    </w:p>
    <w:bookmarkEnd w:id="146"/>
    <w:bookmarkEnd w:id="147"/>
    <w:bookmarkEnd w:id="148"/>
    <w:bookmarkEnd w:id="149"/>
    <w:bookmarkEnd w:id="150"/>
    <w:bookmarkEnd w:id="151"/>
    <w:bookmarkEnd w:id="152"/>
    <w:bookmarkEnd w:id="153"/>
    <w:bookmarkEnd w:id="154"/>
    <w:p>
      <w:pPr>
        <w:ind w:firstLine="480"/>
        <w:rPr>
          <w:rFonts w:ascii="Times New Roman" w:hAnsi="Times New Roman"/>
          <w:bCs/>
          <w:sz w:val="24"/>
        </w:rPr>
      </w:pPr>
      <w:r>
        <w:rPr>
          <w:rFonts w:hint="eastAsia" w:ascii="Times New Roman" w:hAnsi="Times New Roman"/>
          <w:bCs/>
          <w:sz w:val="24"/>
          <w:szCs w:val="24"/>
        </w:rPr>
        <w:t>竞投人全称（公章）:</w:t>
      </w:r>
    </w:p>
    <w:p>
      <w:pPr>
        <w:ind w:firstLine="480"/>
        <w:rPr>
          <w:rFonts w:ascii="Times New Roman" w:hAnsi="Times New Roman"/>
          <w:bCs/>
          <w:sz w:val="24"/>
        </w:rPr>
      </w:pPr>
    </w:p>
    <w:p>
      <w:pPr>
        <w:tabs>
          <w:tab w:val="left" w:pos="3600"/>
        </w:tabs>
        <w:ind w:firstLine="480"/>
        <w:rPr>
          <w:rFonts w:ascii="Times New Roman" w:hAnsi="Times New Roman"/>
          <w:bCs/>
          <w:sz w:val="24"/>
        </w:rPr>
      </w:pPr>
      <w:r>
        <w:rPr>
          <w:rFonts w:hint="eastAsia" w:ascii="Times New Roman" w:hAnsi="Times New Roman"/>
          <w:bCs/>
          <w:sz w:val="24"/>
          <w:szCs w:val="24"/>
        </w:rPr>
        <w:t>法定代表人或其竞投人授权代表(</w:t>
      </w:r>
      <w:r>
        <w:rPr>
          <w:rFonts w:hint="eastAsia" w:ascii="Times New Roman" w:hAnsi="Times New Roman"/>
          <w:sz w:val="24"/>
          <w:szCs w:val="24"/>
        </w:rPr>
        <w:t>签字</w:t>
      </w:r>
      <w:r>
        <w:rPr>
          <w:rFonts w:hint="eastAsia" w:ascii="Times New Roman" w:hAnsi="Times New Roman"/>
          <w:bCs/>
          <w:sz w:val="24"/>
          <w:szCs w:val="24"/>
        </w:rPr>
        <w:t>)：</w:t>
      </w:r>
    </w:p>
    <w:p>
      <w:pPr>
        <w:tabs>
          <w:tab w:val="left" w:pos="3600"/>
        </w:tabs>
        <w:ind w:firstLine="480"/>
        <w:rPr>
          <w:rFonts w:ascii="Times New Roman" w:hAnsi="Times New Roman"/>
          <w:bCs/>
          <w:sz w:val="24"/>
        </w:rPr>
      </w:pPr>
    </w:p>
    <w:p>
      <w:pPr>
        <w:tabs>
          <w:tab w:val="left" w:pos="3600"/>
        </w:tabs>
        <w:ind w:firstLine="480"/>
        <w:rPr>
          <w:rFonts w:ascii="宋体" w:hAnsi="宋体"/>
          <w:sz w:val="24"/>
        </w:rPr>
      </w:pPr>
      <w:r>
        <w:rPr>
          <w:rFonts w:hint="eastAsia" w:ascii="宋体" w:hAnsi="宋体"/>
          <w:bCs/>
          <w:sz w:val="24"/>
          <w:szCs w:val="24"/>
        </w:rPr>
        <w:t>日    期：    年  月  日</w:t>
      </w:r>
    </w:p>
    <w:p>
      <w:pPr>
        <w:widowControl/>
        <w:ind w:firstLine="480"/>
        <w:jc w:val="left"/>
        <w:rPr>
          <w:rFonts w:ascii="宋体" w:hAnsi="宋体"/>
          <w:sz w:val="24"/>
          <w:szCs w:val="24"/>
        </w:rPr>
      </w:pPr>
      <w:r>
        <w:rPr>
          <w:rFonts w:ascii="宋体" w:hAnsi="宋体"/>
          <w:sz w:val="24"/>
          <w:szCs w:val="24"/>
        </w:rPr>
        <w:br w:type="page"/>
      </w:r>
    </w:p>
    <w:p>
      <w:pPr>
        <w:rPr>
          <w:rFonts w:ascii="宋体" w:hAnsi="宋体"/>
          <w:b/>
          <w:sz w:val="30"/>
          <w:szCs w:val="30"/>
        </w:rPr>
      </w:pPr>
      <w:r>
        <w:rPr>
          <w:rFonts w:hint="eastAsia" w:ascii="宋体" w:hAnsi="宋体"/>
          <w:b/>
          <w:sz w:val="30"/>
          <w:szCs w:val="30"/>
        </w:rPr>
        <w:t>格式7</w:t>
      </w:r>
    </w:p>
    <w:p>
      <w:pPr>
        <w:spacing w:beforeLines="50" w:afterLines="50" w:line="360" w:lineRule="auto"/>
        <w:jc w:val="center"/>
        <w:rPr>
          <w:rFonts w:ascii="宋体" w:hAnsi="宋体"/>
          <w:b/>
          <w:sz w:val="28"/>
          <w:szCs w:val="28"/>
        </w:rPr>
      </w:pPr>
      <w:r>
        <w:rPr>
          <w:rFonts w:hint="eastAsia" w:ascii="宋体" w:hAnsi="宋体"/>
          <w:b/>
          <w:sz w:val="28"/>
          <w:szCs w:val="28"/>
        </w:rPr>
        <w:t>拟投入本项目的人员一览表</w:t>
      </w:r>
    </w:p>
    <w:tbl>
      <w:tblPr>
        <w:tblStyle w:val="16"/>
        <w:tblW w:w="78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134"/>
        <w:gridCol w:w="851"/>
        <w:gridCol w:w="1877"/>
        <w:gridCol w:w="974"/>
        <w:gridCol w:w="19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34" w:type="dxa"/>
            <w:tcBorders>
              <w:bottom w:val="single" w:color="auto" w:sz="12" w:space="0"/>
            </w:tcBorders>
            <w:vAlign w:val="center"/>
          </w:tcPr>
          <w:p>
            <w:pPr>
              <w:jc w:val="center"/>
              <w:rPr>
                <w:rFonts w:ascii="宋体" w:hAnsi="宋体"/>
                <w:position w:val="-30"/>
                <w:sz w:val="22"/>
              </w:rPr>
            </w:pPr>
            <w:r>
              <w:rPr>
                <w:rFonts w:hint="eastAsia" w:ascii="宋体" w:hAnsi="宋体"/>
                <w:position w:val="-30"/>
                <w:sz w:val="22"/>
              </w:rPr>
              <w:t>序号</w:t>
            </w:r>
          </w:p>
        </w:tc>
        <w:tc>
          <w:tcPr>
            <w:tcW w:w="1134" w:type="dxa"/>
            <w:tcBorders>
              <w:bottom w:val="single" w:color="auto" w:sz="12" w:space="0"/>
              <w:right w:val="single" w:color="auto" w:sz="6" w:space="0"/>
            </w:tcBorders>
            <w:vAlign w:val="center"/>
          </w:tcPr>
          <w:p>
            <w:pPr>
              <w:jc w:val="center"/>
              <w:rPr>
                <w:rFonts w:ascii="宋体" w:hAnsi="宋体"/>
                <w:position w:val="-30"/>
                <w:sz w:val="22"/>
              </w:rPr>
            </w:pPr>
            <w:r>
              <w:rPr>
                <w:rFonts w:hint="eastAsia" w:ascii="宋体" w:hAnsi="宋体"/>
                <w:position w:val="-30"/>
                <w:sz w:val="22"/>
              </w:rPr>
              <w:t>姓名</w:t>
            </w:r>
          </w:p>
        </w:tc>
        <w:tc>
          <w:tcPr>
            <w:tcW w:w="851" w:type="dxa"/>
            <w:tcBorders>
              <w:left w:val="single" w:color="auto" w:sz="6" w:space="0"/>
              <w:bottom w:val="single" w:color="auto" w:sz="12" w:space="0"/>
            </w:tcBorders>
            <w:vAlign w:val="center"/>
          </w:tcPr>
          <w:p>
            <w:pPr>
              <w:jc w:val="center"/>
              <w:rPr>
                <w:rFonts w:ascii="宋体" w:hAnsi="宋体"/>
                <w:position w:val="-30"/>
                <w:sz w:val="22"/>
              </w:rPr>
            </w:pPr>
            <w:r>
              <w:rPr>
                <w:rFonts w:hint="eastAsia" w:ascii="宋体" w:hAnsi="宋体"/>
                <w:position w:val="-30"/>
                <w:sz w:val="22"/>
              </w:rPr>
              <w:t>年龄</w:t>
            </w:r>
          </w:p>
        </w:tc>
        <w:tc>
          <w:tcPr>
            <w:tcW w:w="1877" w:type="dxa"/>
            <w:tcBorders>
              <w:bottom w:val="single" w:color="auto" w:sz="12" w:space="0"/>
            </w:tcBorders>
            <w:vAlign w:val="center"/>
          </w:tcPr>
          <w:p>
            <w:pPr>
              <w:jc w:val="center"/>
              <w:rPr>
                <w:rFonts w:ascii="宋体" w:hAnsi="宋体"/>
                <w:position w:val="-30"/>
                <w:sz w:val="22"/>
              </w:rPr>
            </w:pPr>
            <w:r>
              <w:rPr>
                <w:rFonts w:hint="eastAsia" w:ascii="宋体" w:hAnsi="宋体"/>
                <w:position w:val="-30"/>
                <w:sz w:val="22"/>
              </w:rPr>
              <w:t>拟     在</w:t>
            </w:r>
          </w:p>
          <w:p>
            <w:pPr>
              <w:jc w:val="center"/>
              <w:rPr>
                <w:rFonts w:ascii="宋体" w:hAnsi="宋体"/>
                <w:position w:val="-30"/>
                <w:sz w:val="22"/>
              </w:rPr>
            </w:pPr>
            <w:r>
              <w:rPr>
                <w:rFonts w:hint="eastAsia" w:ascii="宋体" w:hAnsi="宋体"/>
                <w:position w:val="-30"/>
                <w:sz w:val="22"/>
              </w:rPr>
              <w:t>本项目任职</w:t>
            </w:r>
          </w:p>
        </w:tc>
        <w:tc>
          <w:tcPr>
            <w:tcW w:w="974" w:type="dxa"/>
            <w:tcBorders>
              <w:bottom w:val="single" w:color="auto" w:sz="12" w:space="0"/>
            </w:tcBorders>
            <w:vAlign w:val="center"/>
          </w:tcPr>
          <w:p>
            <w:pPr>
              <w:jc w:val="center"/>
              <w:rPr>
                <w:rFonts w:ascii="宋体" w:hAnsi="宋体"/>
                <w:position w:val="-30"/>
                <w:sz w:val="22"/>
              </w:rPr>
            </w:pPr>
            <w:r>
              <w:rPr>
                <w:rFonts w:hint="eastAsia" w:ascii="宋体" w:hAnsi="宋体"/>
                <w:position w:val="-30"/>
                <w:sz w:val="22"/>
              </w:rPr>
              <w:t>学历</w:t>
            </w:r>
          </w:p>
        </w:tc>
        <w:tc>
          <w:tcPr>
            <w:tcW w:w="1951" w:type="dxa"/>
            <w:tcBorders>
              <w:bottom w:val="single" w:color="auto" w:sz="12" w:space="0"/>
            </w:tcBorders>
            <w:vAlign w:val="center"/>
          </w:tcPr>
          <w:p>
            <w:pPr>
              <w:jc w:val="center"/>
              <w:rPr>
                <w:rFonts w:ascii="宋体" w:hAnsi="宋体"/>
                <w:position w:val="-30"/>
                <w:sz w:val="22"/>
              </w:rPr>
            </w:pPr>
            <w:r>
              <w:rPr>
                <w:rFonts w:hint="eastAsia" w:ascii="宋体" w:hAnsi="宋体"/>
                <w:position w:val="-30"/>
                <w:sz w:val="22"/>
              </w:rPr>
              <w:t>参   加</w:t>
            </w:r>
          </w:p>
          <w:p>
            <w:pPr>
              <w:jc w:val="center"/>
              <w:rPr>
                <w:rFonts w:ascii="宋体" w:hAnsi="宋体"/>
                <w:sz w:val="22"/>
              </w:rPr>
            </w:pPr>
            <w:r>
              <w:rPr>
                <w:rFonts w:hint="eastAsia" w:ascii="宋体" w:hAnsi="宋体"/>
                <w:position w:val="-30"/>
                <w:sz w:val="22"/>
              </w:rPr>
              <w:t>工作时间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34" w:type="dxa"/>
            <w:tcBorders>
              <w:top w:val="single" w:color="auto" w:sz="12" w:space="0"/>
            </w:tcBorders>
            <w:vAlign w:val="center"/>
          </w:tcPr>
          <w:p>
            <w:pPr>
              <w:jc w:val="center"/>
              <w:rPr>
                <w:rFonts w:ascii="宋体" w:hAnsi="宋体"/>
                <w:sz w:val="22"/>
              </w:rPr>
            </w:pPr>
          </w:p>
        </w:tc>
        <w:tc>
          <w:tcPr>
            <w:tcW w:w="1134" w:type="dxa"/>
            <w:tcBorders>
              <w:top w:val="single" w:color="auto" w:sz="12" w:space="0"/>
              <w:right w:val="single" w:color="auto" w:sz="6" w:space="0"/>
            </w:tcBorders>
            <w:vAlign w:val="center"/>
          </w:tcPr>
          <w:p>
            <w:pPr>
              <w:jc w:val="center"/>
              <w:rPr>
                <w:rFonts w:ascii="宋体" w:hAnsi="宋体"/>
                <w:sz w:val="22"/>
              </w:rPr>
            </w:pPr>
          </w:p>
        </w:tc>
        <w:tc>
          <w:tcPr>
            <w:tcW w:w="851" w:type="dxa"/>
            <w:tcBorders>
              <w:top w:val="single" w:color="auto" w:sz="12" w:space="0"/>
              <w:left w:val="single" w:color="auto" w:sz="6" w:space="0"/>
            </w:tcBorders>
            <w:vAlign w:val="center"/>
          </w:tcPr>
          <w:p>
            <w:pPr>
              <w:jc w:val="center"/>
              <w:rPr>
                <w:rFonts w:ascii="宋体" w:hAnsi="宋体"/>
                <w:sz w:val="22"/>
              </w:rPr>
            </w:pPr>
          </w:p>
        </w:tc>
        <w:tc>
          <w:tcPr>
            <w:tcW w:w="1877" w:type="dxa"/>
            <w:tcBorders>
              <w:top w:val="single" w:color="auto" w:sz="12" w:space="0"/>
            </w:tcBorders>
            <w:vAlign w:val="center"/>
          </w:tcPr>
          <w:p>
            <w:pPr>
              <w:jc w:val="center"/>
              <w:rPr>
                <w:rFonts w:ascii="宋体" w:hAnsi="宋体"/>
                <w:sz w:val="22"/>
              </w:rPr>
            </w:pPr>
          </w:p>
        </w:tc>
        <w:tc>
          <w:tcPr>
            <w:tcW w:w="974" w:type="dxa"/>
            <w:tcBorders>
              <w:top w:val="single" w:color="auto" w:sz="12" w:space="0"/>
            </w:tcBorders>
            <w:vAlign w:val="center"/>
          </w:tcPr>
          <w:p>
            <w:pPr>
              <w:jc w:val="center"/>
              <w:rPr>
                <w:rFonts w:ascii="宋体" w:hAnsi="宋体"/>
                <w:sz w:val="22"/>
              </w:rPr>
            </w:pPr>
          </w:p>
        </w:tc>
        <w:tc>
          <w:tcPr>
            <w:tcW w:w="1951" w:type="dxa"/>
            <w:tcBorders>
              <w:top w:val="single" w:color="auto" w:sz="12" w:space="0"/>
            </w:tcBorders>
            <w:vAlign w:val="center"/>
          </w:tcPr>
          <w:p>
            <w:pPr>
              <w:jc w:val="center"/>
              <w:rPr>
                <w:rFonts w:ascii="宋体" w:hAnsi="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34" w:type="dxa"/>
            <w:vAlign w:val="center"/>
          </w:tcPr>
          <w:p>
            <w:pPr>
              <w:jc w:val="center"/>
              <w:rPr>
                <w:rFonts w:ascii="宋体" w:hAnsi="宋体"/>
                <w:sz w:val="22"/>
              </w:rPr>
            </w:pPr>
          </w:p>
        </w:tc>
        <w:tc>
          <w:tcPr>
            <w:tcW w:w="1134" w:type="dxa"/>
            <w:tcBorders>
              <w:right w:val="single" w:color="auto" w:sz="6" w:space="0"/>
            </w:tcBorders>
            <w:vAlign w:val="center"/>
          </w:tcPr>
          <w:p>
            <w:pPr>
              <w:jc w:val="center"/>
              <w:rPr>
                <w:rFonts w:ascii="宋体" w:hAnsi="宋体"/>
                <w:sz w:val="22"/>
              </w:rPr>
            </w:pPr>
          </w:p>
        </w:tc>
        <w:tc>
          <w:tcPr>
            <w:tcW w:w="851" w:type="dxa"/>
            <w:tcBorders>
              <w:left w:val="single" w:color="auto" w:sz="6" w:space="0"/>
            </w:tcBorders>
            <w:vAlign w:val="center"/>
          </w:tcPr>
          <w:p>
            <w:pPr>
              <w:jc w:val="center"/>
              <w:rPr>
                <w:rFonts w:ascii="宋体" w:hAnsi="宋体"/>
                <w:sz w:val="22"/>
              </w:rPr>
            </w:pPr>
          </w:p>
        </w:tc>
        <w:tc>
          <w:tcPr>
            <w:tcW w:w="1877" w:type="dxa"/>
            <w:vAlign w:val="center"/>
          </w:tcPr>
          <w:p>
            <w:pPr>
              <w:jc w:val="center"/>
              <w:rPr>
                <w:rFonts w:ascii="宋体" w:hAnsi="宋体"/>
                <w:sz w:val="22"/>
              </w:rPr>
            </w:pPr>
          </w:p>
        </w:tc>
        <w:tc>
          <w:tcPr>
            <w:tcW w:w="974" w:type="dxa"/>
            <w:vAlign w:val="center"/>
          </w:tcPr>
          <w:p>
            <w:pPr>
              <w:jc w:val="center"/>
              <w:rPr>
                <w:rFonts w:ascii="宋体" w:hAnsi="宋体"/>
                <w:sz w:val="22"/>
              </w:rPr>
            </w:pPr>
          </w:p>
        </w:tc>
        <w:tc>
          <w:tcPr>
            <w:tcW w:w="1951" w:type="dxa"/>
            <w:vAlign w:val="center"/>
          </w:tcPr>
          <w:p>
            <w:pPr>
              <w:jc w:val="center"/>
              <w:rPr>
                <w:rFonts w:ascii="宋体" w:hAnsi="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34" w:type="dxa"/>
            <w:vAlign w:val="center"/>
          </w:tcPr>
          <w:p>
            <w:pPr>
              <w:jc w:val="center"/>
              <w:rPr>
                <w:rFonts w:ascii="宋体" w:hAnsi="宋体"/>
                <w:sz w:val="22"/>
              </w:rPr>
            </w:pPr>
          </w:p>
        </w:tc>
        <w:tc>
          <w:tcPr>
            <w:tcW w:w="1134" w:type="dxa"/>
            <w:tcBorders>
              <w:right w:val="single" w:color="auto" w:sz="6" w:space="0"/>
            </w:tcBorders>
            <w:vAlign w:val="center"/>
          </w:tcPr>
          <w:p>
            <w:pPr>
              <w:jc w:val="center"/>
              <w:rPr>
                <w:rFonts w:ascii="宋体" w:hAnsi="宋体"/>
                <w:sz w:val="22"/>
              </w:rPr>
            </w:pPr>
          </w:p>
        </w:tc>
        <w:tc>
          <w:tcPr>
            <w:tcW w:w="851" w:type="dxa"/>
            <w:tcBorders>
              <w:left w:val="single" w:color="auto" w:sz="6" w:space="0"/>
            </w:tcBorders>
            <w:vAlign w:val="center"/>
          </w:tcPr>
          <w:p>
            <w:pPr>
              <w:jc w:val="center"/>
              <w:rPr>
                <w:rFonts w:ascii="宋体" w:hAnsi="宋体"/>
                <w:sz w:val="22"/>
              </w:rPr>
            </w:pPr>
          </w:p>
        </w:tc>
        <w:tc>
          <w:tcPr>
            <w:tcW w:w="1877" w:type="dxa"/>
            <w:vAlign w:val="center"/>
          </w:tcPr>
          <w:p>
            <w:pPr>
              <w:jc w:val="center"/>
              <w:rPr>
                <w:rFonts w:ascii="宋体" w:hAnsi="宋体"/>
                <w:sz w:val="22"/>
              </w:rPr>
            </w:pPr>
          </w:p>
        </w:tc>
        <w:tc>
          <w:tcPr>
            <w:tcW w:w="974" w:type="dxa"/>
            <w:vAlign w:val="center"/>
          </w:tcPr>
          <w:p>
            <w:pPr>
              <w:jc w:val="center"/>
              <w:rPr>
                <w:rFonts w:ascii="宋体" w:hAnsi="宋体"/>
                <w:sz w:val="22"/>
              </w:rPr>
            </w:pPr>
          </w:p>
        </w:tc>
        <w:tc>
          <w:tcPr>
            <w:tcW w:w="1951" w:type="dxa"/>
            <w:vAlign w:val="center"/>
          </w:tcPr>
          <w:p>
            <w:pPr>
              <w:jc w:val="center"/>
              <w:rPr>
                <w:rFonts w:ascii="宋体" w:hAnsi="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34" w:type="dxa"/>
            <w:vAlign w:val="center"/>
          </w:tcPr>
          <w:p>
            <w:pPr>
              <w:jc w:val="center"/>
              <w:rPr>
                <w:rFonts w:ascii="宋体" w:hAnsi="宋体"/>
                <w:sz w:val="22"/>
              </w:rPr>
            </w:pPr>
          </w:p>
        </w:tc>
        <w:tc>
          <w:tcPr>
            <w:tcW w:w="1134" w:type="dxa"/>
            <w:tcBorders>
              <w:right w:val="single" w:color="auto" w:sz="6" w:space="0"/>
            </w:tcBorders>
            <w:vAlign w:val="center"/>
          </w:tcPr>
          <w:p>
            <w:pPr>
              <w:jc w:val="center"/>
              <w:rPr>
                <w:rFonts w:ascii="宋体" w:hAnsi="宋体"/>
                <w:sz w:val="22"/>
              </w:rPr>
            </w:pPr>
          </w:p>
        </w:tc>
        <w:tc>
          <w:tcPr>
            <w:tcW w:w="851" w:type="dxa"/>
            <w:tcBorders>
              <w:left w:val="single" w:color="auto" w:sz="6" w:space="0"/>
            </w:tcBorders>
            <w:vAlign w:val="center"/>
          </w:tcPr>
          <w:p>
            <w:pPr>
              <w:jc w:val="center"/>
              <w:rPr>
                <w:rFonts w:ascii="宋体" w:hAnsi="宋体"/>
                <w:sz w:val="22"/>
              </w:rPr>
            </w:pPr>
          </w:p>
        </w:tc>
        <w:tc>
          <w:tcPr>
            <w:tcW w:w="1877" w:type="dxa"/>
            <w:vAlign w:val="center"/>
          </w:tcPr>
          <w:p>
            <w:pPr>
              <w:jc w:val="center"/>
              <w:rPr>
                <w:rFonts w:ascii="宋体" w:hAnsi="宋体"/>
                <w:sz w:val="22"/>
              </w:rPr>
            </w:pPr>
          </w:p>
        </w:tc>
        <w:tc>
          <w:tcPr>
            <w:tcW w:w="974" w:type="dxa"/>
            <w:vAlign w:val="center"/>
          </w:tcPr>
          <w:p>
            <w:pPr>
              <w:jc w:val="center"/>
              <w:rPr>
                <w:rFonts w:ascii="宋体" w:hAnsi="宋体"/>
                <w:sz w:val="22"/>
              </w:rPr>
            </w:pPr>
          </w:p>
        </w:tc>
        <w:tc>
          <w:tcPr>
            <w:tcW w:w="1951" w:type="dxa"/>
            <w:vAlign w:val="center"/>
          </w:tcPr>
          <w:p>
            <w:pPr>
              <w:jc w:val="center"/>
              <w:rPr>
                <w:rFonts w:ascii="宋体" w:hAnsi="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34" w:type="dxa"/>
            <w:vAlign w:val="center"/>
          </w:tcPr>
          <w:p>
            <w:pPr>
              <w:jc w:val="center"/>
              <w:rPr>
                <w:rFonts w:ascii="宋体" w:hAnsi="宋体"/>
                <w:sz w:val="22"/>
              </w:rPr>
            </w:pPr>
          </w:p>
        </w:tc>
        <w:tc>
          <w:tcPr>
            <w:tcW w:w="1134" w:type="dxa"/>
            <w:tcBorders>
              <w:right w:val="single" w:color="auto" w:sz="6" w:space="0"/>
            </w:tcBorders>
            <w:vAlign w:val="center"/>
          </w:tcPr>
          <w:p>
            <w:pPr>
              <w:jc w:val="center"/>
              <w:rPr>
                <w:rFonts w:ascii="宋体" w:hAnsi="宋体"/>
                <w:sz w:val="22"/>
              </w:rPr>
            </w:pPr>
          </w:p>
        </w:tc>
        <w:tc>
          <w:tcPr>
            <w:tcW w:w="851" w:type="dxa"/>
            <w:tcBorders>
              <w:left w:val="single" w:color="auto" w:sz="6" w:space="0"/>
            </w:tcBorders>
            <w:vAlign w:val="center"/>
          </w:tcPr>
          <w:p>
            <w:pPr>
              <w:jc w:val="center"/>
              <w:rPr>
                <w:rFonts w:ascii="宋体" w:hAnsi="宋体"/>
                <w:sz w:val="22"/>
              </w:rPr>
            </w:pPr>
          </w:p>
        </w:tc>
        <w:tc>
          <w:tcPr>
            <w:tcW w:w="1877" w:type="dxa"/>
            <w:vAlign w:val="center"/>
          </w:tcPr>
          <w:p>
            <w:pPr>
              <w:jc w:val="center"/>
              <w:rPr>
                <w:rFonts w:ascii="宋体" w:hAnsi="宋体"/>
                <w:sz w:val="22"/>
              </w:rPr>
            </w:pPr>
          </w:p>
        </w:tc>
        <w:tc>
          <w:tcPr>
            <w:tcW w:w="974" w:type="dxa"/>
            <w:vAlign w:val="center"/>
          </w:tcPr>
          <w:p>
            <w:pPr>
              <w:jc w:val="center"/>
              <w:rPr>
                <w:rFonts w:ascii="宋体" w:hAnsi="宋体"/>
                <w:sz w:val="22"/>
              </w:rPr>
            </w:pPr>
          </w:p>
        </w:tc>
        <w:tc>
          <w:tcPr>
            <w:tcW w:w="1951" w:type="dxa"/>
            <w:vAlign w:val="center"/>
          </w:tcPr>
          <w:p>
            <w:pPr>
              <w:jc w:val="center"/>
              <w:rPr>
                <w:rFonts w:ascii="宋体" w:hAnsi="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34" w:type="dxa"/>
            <w:vAlign w:val="center"/>
          </w:tcPr>
          <w:p>
            <w:pPr>
              <w:jc w:val="center"/>
              <w:rPr>
                <w:rFonts w:ascii="宋体" w:hAnsi="宋体"/>
                <w:sz w:val="22"/>
              </w:rPr>
            </w:pPr>
          </w:p>
        </w:tc>
        <w:tc>
          <w:tcPr>
            <w:tcW w:w="1134" w:type="dxa"/>
            <w:tcBorders>
              <w:right w:val="single" w:color="auto" w:sz="6" w:space="0"/>
            </w:tcBorders>
            <w:vAlign w:val="center"/>
          </w:tcPr>
          <w:p>
            <w:pPr>
              <w:jc w:val="center"/>
              <w:rPr>
                <w:rFonts w:ascii="宋体" w:hAnsi="宋体"/>
                <w:sz w:val="22"/>
              </w:rPr>
            </w:pPr>
          </w:p>
        </w:tc>
        <w:tc>
          <w:tcPr>
            <w:tcW w:w="851" w:type="dxa"/>
            <w:tcBorders>
              <w:left w:val="single" w:color="auto" w:sz="6" w:space="0"/>
            </w:tcBorders>
            <w:vAlign w:val="center"/>
          </w:tcPr>
          <w:p>
            <w:pPr>
              <w:jc w:val="center"/>
              <w:rPr>
                <w:rFonts w:ascii="宋体" w:hAnsi="宋体"/>
                <w:sz w:val="22"/>
              </w:rPr>
            </w:pPr>
          </w:p>
        </w:tc>
        <w:tc>
          <w:tcPr>
            <w:tcW w:w="1877" w:type="dxa"/>
            <w:vAlign w:val="center"/>
          </w:tcPr>
          <w:p>
            <w:pPr>
              <w:jc w:val="center"/>
              <w:rPr>
                <w:rFonts w:ascii="宋体" w:hAnsi="宋体"/>
                <w:sz w:val="22"/>
              </w:rPr>
            </w:pPr>
          </w:p>
        </w:tc>
        <w:tc>
          <w:tcPr>
            <w:tcW w:w="974" w:type="dxa"/>
            <w:vAlign w:val="center"/>
          </w:tcPr>
          <w:p>
            <w:pPr>
              <w:jc w:val="center"/>
              <w:rPr>
                <w:rFonts w:ascii="宋体" w:hAnsi="宋体"/>
                <w:sz w:val="22"/>
              </w:rPr>
            </w:pPr>
          </w:p>
        </w:tc>
        <w:tc>
          <w:tcPr>
            <w:tcW w:w="1951" w:type="dxa"/>
            <w:vAlign w:val="center"/>
          </w:tcPr>
          <w:p>
            <w:pPr>
              <w:jc w:val="center"/>
              <w:rPr>
                <w:rFonts w:ascii="宋体" w:hAnsi="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34" w:type="dxa"/>
            <w:vAlign w:val="center"/>
          </w:tcPr>
          <w:p>
            <w:pPr>
              <w:jc w:val="center"/>
              <w:rPr>
                <w:rFonts w:ascii="宋体" w:hAnsi="宋体"/>
                <w:sz w:val="22"/>
              </w:rPr>
            </w:pPr>
          </w:p>
        </w:tc>
        <w:tc>
          <w:tcPr>
            <w:tcW w:w="1134" w:type="dxa"/>
            <w:tcBorders>
              <w:right w:val="single" w:color="auto" w:sz="6" w:space="0"/>
            </w:tcBorders>
            <w:vAlign w:val="center"/>
          </w:tcPr>
          <w:p>
            <w:pPr>
              <w:jc w:val="center"/>
              <w:rPr>
                <w:rFonts w:ascii="宋体" w:hAnsi="宋体"/>
                <w:sz w:val="22"/>
              </w:rPr>
            </w:pPr>
          </w:p>
        </w:tc>
        <w:tc>
          <w:tcPr>
            <w:tcW w:w="851" w:type="dxa"/>
            <w:tcBorders>
              <w:left w:val="single" w:color="auto" w:sz="6" w:space="0"/>
            </w:tcBorders>
            <w:vAlign w:val="center"/>
          </w:tcPr>
          <w:p>
            <w:pPr>
              <w:jc w:val="center"/>
              <w:rPr>
                <w:rFonts w:ascii="宋体" w:hAnsi="宋体"/>
                <w:sz w:val="22"/>
              </w:rPr>
            </w:pPr>
          </w:p>
        </w:tc>
        <w:tc>
          <w:tcPr>
            <w:tcW w:w="1877" w:type="dxa"/>
            <w:vAlign w:val="center"/>
          </w:tcPr>
          <w:p>
            <w:pPr>
              <w:jc w:val="center"/>
              <w:rPr>
                <w:rFonts w:ascii="宋体" w:hAnsi="宋体"/>
                <w:sz w:val="22"/>
              </w:rPr>
            </w:pPr>
          </w:p>
        </w:tc>
        <w:tc>
          <w:tcPr>
            <w:tcW w:w="974" w:type="dxa"/>
            <w:vAlign w:val="center"/>
          </w:tcPr>
          <w:p>
            <w:pPr>
              <w:jc w:val="center"/>
              <w:rPr>
                <w:rFonts w:ascii="宋体" w:hAnsi="宋体"/>
                <w:sz w:val="22"/>
              </w:rPr>
            </w:pPr>
          </w:p>
        </w:tc>
        <w:tc>
          <w:tcPr>
            <w:tcW w:w="1951" w:type="dxa"/>
            <w:vAlign w:val="center"/>
          </w:tcPr>
          <w:p>
            <w:pPr>
              <w:jc w:val="center"/>
              <w:rPr>
                <w:rFonts w:ascii="宋体" w:hAnsi="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34" w:type="dxa"/>
            <w:vAlign w:val="center"/>
          </w:tcPr>
          <w:p>
            <w:pPr>
              <w:jc w:val="center"/>
              <w:rPr>
                <w:rFonts w:ascii="宋体" w:hAnsi="宋体"/>
                <w:sz w:val="22"/>
              </w:rPr>
            </w:pPr>
          </w:p>
        </w:tc>
        <w:tc>
          <w:tcPr>
            <w:tcW w:w="1134" w:type="dxa"/>
            <w:tcBorders>
              <w:right w:val="single" w:color="auto" w:sz="6" w:space="0"/>
            </w:tcBorders>
            <w:vAlign w:val="center"/>
          </w:tcPr>
          <w:p>
            <w:pPr>
              <w:jc w:val="center"/>
              <w:rPr>
                <w:rFonts w:ascii="宋体" w:hAnsi="宋体"/>
                <w:sz w:val="22"/>
              </w:rPr>
            </w:pPr>
          </w:p>
        </w:tc>
        <w:tc>
          <w:tcPr>
            <w:tcW w:w="851" w:type="dxa"/>
            <w:tcBorders>
              <w:left w:val="single" w:color="auto" w:sz="6" w:space="0"/>
            </w:tcBorders>
            <w:vAlign w:val="center"/>
          </w:tcPr>
          <w:p>
            <w:pPr>
              <w:jc w:val="center"/>
              <w:rPr>
                <w:rFonts w:ascii="宋体" w:hAnsi="宋体"/>
                <w:sz w:val="22"/>
              </w:rPr>
            </w:pPr>
          </w:p>
        </w:tc>
        <w:tc>
          <w:tcPr>
            <w:tcW w:w="1877" w:type="dxa"/>
            <w:vAlign w:val="center"/>
          </w:tcPr>
          <w:p>
            <w:pPr>
              <w:jc w:val="center"/>
              <w:rPr>
                <w:rFonts w:ascii="宋体" w:hAnsi="宋体"/>
                <w:sz w:val="22"/>
              </w:rPr>
            </w:pPr>
          </w:p>
        </w:tc>
        <w:tc>
          <w:tcPr>
            <w:tcW w:w="974" w:type="dxa"/>
            <w:vAlign w:val="center"/>
          </w:tcPr>
          <w:p>
            <w:pPr>
              <w:jc w:val="center"/>
              <w:rPr>
                <w:rFonts w:ascii="宋体" w:hAnsi="宋体"/>
                <w:sz w:val="22"/>
              </w:rPr>
            </w:pPr>
          </w:p>
        </w:tc>
        <w:tc>
          <w:tcPr>
            <w:tcW w:w="1951" w:type="dxa"/>
            <w:vAlign w:val="center"/>
          </w:tcPr>
          <w:p>
            <w:pPr>
              <w:jc w:val="center"/>
              <w:rPr>
                <w:rFonts w:ascii="宋体" w:hAnsi="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34" w:type="dxa"/>
            <w:vAlign w:val="center"/>
          </w:tcPr>
          <w:p>
            <w:pPr>
              <w:jc w:val="center"/>
              <w:rPr>
                <w:rFonts w:ascii="宋体" w:hAnsi="宋体"/>
                <w:sz w:val="22"/>
              </w:rPr>
            </w:pPr>
          </w:p>
        </w:tc>
        <w:tc>
          <w:tcPr>
            <w:tcW w:w="1134" w:type="dxa"/>
            <w:tcBorders>
              <w:right w:val="single" w:color="auto" w:sz="6" w:space="0"/>
            </w:tcBorders>
            <w:vAlign w:val="center"/>
          </w:tcPr>
          <w:p>
            <w:pPr>
              <w:jc w:val="center"/>
              <w:rPr>
                <w:rFonts w:ascii="宋体" w:hAnsi="宋体"/>
                <w:sz w:val="22"/>
              </w:rPr>
            </w:pPr>
          </w:p>
        </w:tc>
        <w:tc>
          <w:tcPr>
            <w:tcW w:w="851" w:type="dxa"/>
            <w:tcBorders>
              <w:left w:val="single" w:color="auto" w:sz="6" w:space="0"/>
            </w:tcBorders>
            <w:vAlign w:val="center"/>
          </w:tcPr>
          <w:p>
            <w:pPr>
              <w:jc w:val="center"/>
              <w:rPr>
                <w:rFonts w:ascii="宋体" w:hAnsi="宋体"/>
                <w:sz w:val="22"/>
              </w:rPr>
            </w:pPr>
          </w:p>
        </w:tc>
        <w:tc>
          <w:tcPr>
            <w:tcW w:w="1877" w:type="dxa"/>
            <w:vAlign w:val="center"/>
          </w:tcPr>
          <w:p>
            <w:pPr>
              <w:jc w:val="center"/>
              <w:rPr>
                <w:rFonts w:ascii="宋体" w:hAnsi="宋体"/>
                <w:sz w:val="22"/>
              </w:rPr>
            </w:pPr>
          </w:p>
        </w:tc>
        <w:tc>
          <w:tcPr>
            <w:tcW w:w="974" w:type="dxa"/>
            <w:vAlign w:val="center"/>
          </w:tcPr>
          <w:p>
            <w:pPr>
              <w:jc w:val="center"/>
              <w:rPr>
                <w:rFonts w:ascii="宋体" w:hAnsi="宋体"/>
                <w:sz w:val="22"/>
              </w:rPr>
            </w:pPr>
          </w:p>
        </w:tc>
        <w:tc>
          <w:tcPr>
            <w:tcW w:w="1951" w:type="dxa"/>
            <w:vAlign w:val="center"/>
          </w:tcPr>
          <w:p>
            <w:pPr>
              <w:jc w:val="center"/>
              <w:rPr>
                <w:rFonts w:ascii="宋体" w:hAnsi="宋体"/>
                <w:sz w:val="22"/>
              </w:rPr>
            </w:pPr>
          </w:p>
        </w:tc>
      </w:tr>
    </w:tbl>
    <w:p/>
    <w:p>
      <w:pPr>
        <w:spacing w:line="360" w:lineRule="auto"/>
        <w:jc w:val="left"/>
        <w:rPr>
          <w:rFonts w:ascii="宋体" w:hAnsi="宋体"/>
        </w:rPr>
      </w:pPr>
      <w:r>
        <w:rPr>
          <w:rFonts w:hint="eastAsia" w:ascii="宋体" w:hAnsi="宋体"/>
        </w:rPr>
        <w:t>注：本项目投入人员不少于3人。</w:t>
      </w:r>
    </w:p>
    <w:p>
      <w:pPr>
        <w:outlineLvl w:val="1"/>
        <w:rPr>
          <w:rFonts w:ascii="宋体" w:hAnsi="宋体"/>
          <w:b/>
          <w:bCs/>
          <w:sz w:val="28"/>
          <w:szCs w:val="28"/>
        </w:rPr>
      </w:pPr>
    </w:p>
    <w:p>
      <w:pPr>
        <w:widowControl/>
        <w:ind w:firstLine="562"/>
        <w:jc w:val="left"/>
        <w:rPr>
          <w:rFonts w:ascii="宋体" w:hAnsi="宋体"/>
          <w:b/>
          <w:sz w:val="28"/>
          <w:szCs w:val="28"/>
        </w:rPr>
      </w:pPr>
      <w:r>
        <w:rPr>
          <w:rFonts w:ascii="宋体" w:hAnsi="宋体"/>
          <w:b/>
          <w:sz w:val="28"/>
          <w:szCs w:val="28"/>
        </w:rPr>
        <w:br w:type="page"/>
      </w:r>
    </w:p>
    <w:p>
      <w:pPr>
        <w:rPr>
          <w:rFonts w:ascii="宋体" w:hAnsi="宋体"/>
          <w:b/>
          <w:sz w:val="30"/>
          <w:szCs w:val="30"/>
        </w:rPr>
      </w:pPr>
      <w:r>
        <w:rPr>
          <w:rFonts w:hint="eastAsia" w:ascii="宋体" w:hAnsi="宋体"/>
          <w:b/>
          <w:sz w:val="30"/>
          <w:szCs w:val="30"/>
        </w:rPr>
        <w:t>格式8</w:t>
      </w:r>
    </w:p>
    <w:p>
      <w:pPr>
        <w:jc w:val="center"/>
        <w:rPr>
          <w:b/>
          <w:sz w:val="28"/>
          <w:szCs w:val="28"/>
        </w:rPr>
      </w:pPr>
      <w:r>
        <w:rPr>
          <w:rFonts w:hint="eastAsia"/>
          <w:b/>
          <w:sz w:val="28"/>
          <w:szCs w:val="28"/>
        </w:rPr>
        <w:t>项目服务方案</w:t>
      </w:r>
    </w:p>
    <w:p>
      <w:pPr>
        <w:jc w:val="left"/>
        <w:rPr>
          <w:rFonts w:ascii="宋体" w:hAnsi="宋体"/>
          <w:b/>
          <w:bCs/>
          <w:sz w:val="32"/>
          <w:szCs w:val="32"/>
        </w:rPr>
      </w:pPr>
    </w:p>
    <w:p>
      <w:pPr>
        <w:jc w:val="left"/>
        <w:rPr>
          <w:rFonts w:ascii="宋体" w:hAnsi="宋体"/>
          <w:sz w:val="24"/>
        </w:rPr>
      </w:pPr>
      <w:r>
        <w:rPr>
          <w:rFonts w:hint="eastAsia" w:ascii="宋体" w:hAnsi="宋体"/>
          <w:sz w:val="24"/>
          <w:szCs w:val="24"/>
        </w:rPr>
        <w:t xml:space="preserve">    [竞投人根据招选人的需求及综合评分表的要求撰写对本项目的设想及方案]。</w:t>
      </w:r>
    </w:p>
    <w:p>
      <w:pPr>
        <w:ind w:firstLine="560"/>
        <w:rPr>
          <w:rFonts w:ascii="Times New Roman" w:hAnsi="Times New Roman"/>
        </w:rPr>
      </w:pPr>
    </w:p>
    <w:p>
      <w:pPr>
        <w:widowControl/>
        <w:ind w:firstLine="480"/>
        <w:jc w:val="left"/>
        <w:rPr>
          <w:rFonts w:ascii="宋体" w:hAnsi="宋体"/>
          <w:sz w:val="24"/>
          <w:szCs w:val="24"/>
        </w:rPr>
      </w:pPr>
      <w:r>
        <w:rPr>
          <w:rFonts w:ascii="宋体" w:hAnsi="宋体"/>
          <w:sz w:val="24"/>
          <w:szCs w:val="24"/>
        </w:rPr>
        <w:br w:type="page"/>
      </w:r>
    </w:p>
    <w:p>
      <w:pPr>
        <w:keepNext/>
        <w:keepLines/>
        <w:jc w:val="center"/>
        <w:outlineLvl w:val="0"/>
        <w:rPr>
          <w:rFonts w:ascii="宋体" w:hAnsi="宋体"/>
          <w:b/>
          <w:bCs/>
          <w:sz w:val="44"/>
          <w:szCs w:val="44"/>
        </w:rPr>
      </w:pPr>
      <w:bookmarkStart w:id="155" w:name="_Toc427828529"/>
      <w:bookmarkStart w:id="156" w:name="_Toc24378774"/>
      <w:bookmarkStart w:id="157" w:name="_Toc130180737"/>
      <w:bookmarkStart w:id="158" w:name="_Toc130180923"/>
      <w:bookmarkStart w:id="159" w:name="_Toc334797738"/>
      <w:bookmarkStart w:id="160" w:name="_Toc130180842"/>
      <w:bookmarkStart w:id="161" w:name="_Toc238282338"/>
      <w:r>
        <w:rPr>
          <w:rFonts w:hint="eastAsia" w:ascii="宋体" w:hAnsi="宋体" w:cs="宋体"/>
          <w:b/>
          <w:bCs/>
          <w:sz w:val="44"/>
          <w:szCs w:val="44"/>
        </w:rPr>
        <w:t>第四部分 用户需求</w:t>
      </w:r>
      <w:bookmarkEnd w:id="155"/>
      <w:r>
        <w:rPr>
          <w:rFonts w:hint="eastAsia" w:ascii="宋体" w:hAnsi="宋体" w:cs="宋体"/>
          <w:b/>
          <w:bCs/>
          <w:sz w:val="44"/>
          <w:szCs w:val="44"/>
        </w:rPr>
        <w:t>书</w:t>
      </w:r>
      <w:bookmarkEnd w:id="156"/>
    </w:p>
    <w:p>
      <w:pPr>
        <w:spacing w:line="440" w:lineRule="exact"/>
        <w:ind w:firstLine="482" w:firstLineChars="200"/>
        <w:rPr>
          <w:rFonts w:ascii="宋体" w:hAnsi="宋体"/>
          <w:b/>
          <w:sz w:val="24"/>
          <w:szCs w:val="24"/>
        </w:rPr>
      </w:pPr>
      <w:r>
        <w:rPr>
          <w:rFonts w:hint="eastAsia" w:ascii="宋体" w:hAnsi="宋体"/>
          <w:b/>
          <w:sz w:val="24"/>
          <w:szCs w:val="24"/>
        </w:rPr>
        <w:t>一、概述</w:t>
      </w:r>
    </w:p>
    <w:p>
      <w:pPr>
        <w:tabs>
          <w:tab w:val="left" w:pos="0"/>
        </w:tabs>
        <w:spacing w:line="440" w:lineRule="exact"/>
        <w:ind w:firstLine="480" w:firstLineChars="200"/>
        <w:outlineLvl w:val="3"/>
        <w:rPr>
          <w:rFonts w:ascii="Times New Roman" w:hAnsi="Times New Roman" w:cs="仿宋_GB2312"/>
          <w:color w:val="auto"/>
          <w:kern w:val="0"/>
          <w:sz w:val="24"/>
          <w:szCs w:val="24"/>
        </w:rPr>
      </w:pPr>
      <w:r>
        <w:rPr>
          <w:rFonts w:hint="eastAsia" w:ascii="Times New Roman" w:hAnsi="宋体" w:cs="仿宋_GB2312"/>
          <w:color w:val="auto"/>
          <w:kern w:val="0"/>
          <w:sz w:val="24"/>
          <w:szCs w:val="24"/>
        </w:rPr>
        <w:t>花城汇商业区9块全彩户外</w:t>
      </w:r>
      <w:r>
        <w:rPr>
          <w:rFonts w:hint="eastAsia" w:ascii="Times New Roman" w:hAnsi="Times New Roman" w:cs="仿宋_GB2312"/>
          <w:color w:val="auto"/>
          <w:kern w:val="0"/>
          <w:sz w:val="24"/>
          <w:szCs w:val="24"/>
        </w:rPr>
        <w:t>LED</w:t>
      </w:r>
      <w:r>
        <w:rPr>
          <w:rFonts w:hint="eastAsia" w:ascii="Times New Roman" w:hAnsi="宋体" w:cs="仿宋_GB2312"/>
          <w:color w:val="auto"/>
          <w:kern w:val="0"/>
          <w:sz w:val="24"/>
          <w:szCs w:val="24"/>
        </w:rPr>
        <w:t>显示屏，分别为：</w:t>
      </w:r>
    </w:p>
    <w:p>
      <w:pPr>
        <w:pStyle w:val="27"/>
        <w:numPr>
          <w:ilvl w:val="0"/>
          <w:numId w:val="25"/>
        </w:numPr>
        <w:tabs>
          <w:tab w:val="left" w:pos="0"/>
        </w:tabs>
        <w:spacing w:line="440" w:lineRule="exact"/>
        <w:ind w:left="0" w:firstLine="480"/>
        <w:outlineLvl w:val="3"/>
        <w:rPr>
          <w:rFonts w:ascii="Times New Roman" w:hAnsi="Times New Roman" w:cs="仿宋"/>
          <w:bCs/>
          <w:color w:val="auto"/>
          <w:sz w:val="24"/>
          <w:szCs w:val="24"/>
        </w:rPr>
      </w:pPr>
      <w:r>
        <w:rPr>
          <w:rFonts w:hint="eastAsia" w:ascii="Times New Roman" w:hAnsi="宋体" w:cs="仿宋_GB2312"/>
          <w:color w:val="auto"/>
          <w:kern w:val="0"/>
          <w:sz w:val="24"/>
          <w:szCs w:val="24"/>
        </w:rPr>
        <w:t>中区小广场下沉口</w:t>
      </w:r>
      <w:r>
        <w:rPr>
          <w:rFonts w:hint="eastAsia" w:ascii="Times New Roman" w:hAnsi="Times New Roman" w:cs="仿宋"/>
          <w:bCs/>
          <w:color w:val="auto"/>
          <w:sz w:val="24"/>
          <w:szCs w:val="24"/>
        </w:rPr>
        <w:t>P10全彩户外LED屏，显示面积约59m</w:t>
      </w:r>
      <w:r>
        <w:rPr>
          <w:rFonts w:hint="eastAsia" w:ascii="Times New Roman" w:hAnsi="Times New Roman" w:cs="仿宋"/>
          <w:bCs/>
          <w:color w:val="auto"/>
          <w:sz w:val="24"/>
          <w:szCs w:val="24"/>
          <w:vertAlign w:val="superscript"/>
        </w:rPr>
        <w:t>2</w:t>
      </w:r>
      <w:r>
        <w:rPr>
          <w:rFonts w:hint="eastAsia" w:ascii="Times New Roman" w:hAnsi="Times New Roman" w:cs="仿宋"/>
          <w:bCs/>
          <w:color w:val="auto"/>
          <w:sz w:val="24"/>
          <w:szCs w:val="24"/>
        </w:rPr>
        <w:t>。</w:t>
      </w:r>
    </w:p>
    <w:p>
      <w:pPr>
        <w:pStyle w:val="27"/>
        <w:numPr>
          <w:ilvl w:val="0"/>
          <w:numId w:val="25"/>
        </w:numPr>
        <w:tabs>
          <w:tab w:val="left" w:pos="0"/>
        </w:tabs>
        <w:spacing w:line="440" w:lineRule="exact"/>
        <w:ind w:left="0" w:firstLine="480"/>
        <w:outlineLvl w:val="3"/>
        <w:rPr>
          <w:rFonts w:ascii="Times New Roman" w:hAnsi="Times New Roman" w:cs="仿宋"/>
          <w:bCs/>
          <w:color w:val="auto"/>
          <w:sz w:val="24"/>
          <w:szCs w:val="24"/>
        </w:rPr>
      </w:pPr>
      <w:r>
        <w:rPr>
          <w:rFonts w:hint="eastAsia" w:ascii="Times New Roman" w:hAnsi="Times New Roman" w:cs="仿宋"/>
          <w:bCs/>
          <w:color w:val="auto"/>
          <w:sz w:val="24"/>
          <w:szCs w:val="24"/>
        </w:rPr>
        <w:t>APM</w:t>
      </w:r>
      <w:r>
        <w:rPr>
          <w:rFonts w:hint="eastAsia" w:ascii="Times New Roman" w:hAnsi="宋体" w:cs="仿宋_GB2312"/>
          <w:color w:val="auto"/>
          <w:kern w:val="0"/>
          <w:sz w:val="24"/>
          <w:szCs w:val="24"/>
        </w:rPr>
        <w:t>妇儿中心站</w:t>
      </w:r>
      <w:r>
        <w:rPr>
          <w:rFonts w:hint="eastAsia" w:ascii="Times New Roman" w:hAnsi="Times New Roman" w:cs="仿宋_GB2312"/>
          <w:color w:val="auto"/>
          <w:kern w:val="0"/>
          <w:sz w:val="24"/>
          <w:szCs w:val="24"/>
        </w:rPr>
        <w:t>A</w:t>
      </w:r>
      <w:r>
        <w:rPr>
          <w:rFonts w:hint="eastAsia" w:ascii="Times New Roman" w:hAnsi="宋体" w:cs="仿宋_GB2312"/>
          <w:color w:val="auto"/>
          <w:kern w:val="0"/>
          <w:sz w:val="24"/>
          <w:szCs w:val="24"/>
        </w:rPr>
        <w:t>入口</w:t>
      </w:r>
      <w:r>
        <w:rPr>
          <w:rFonts w:hint="eastAsia" w:ascii="Times New Roman" w:hAnsi="Times New Roman" w:cs="仿宋"/>
          <w:bCs/>
          <w:color w:val="auto"/>
          <w:sz w:val="24"/>
          <w:szCs w:val="24"/>
        </w:rPr>
        <w:t>P10全彩户外LED屏，显示面积约44m</w:t>
      </w:r>
      <w:r>
        <w:rPr>
          <w:rFonts w:hint="eastAsia" w:ascii="Times New Roman" w:hAnsi="Times New Roman" w:cs="仿宋"/>
          <w:bCs/>
          <w:color w:val="auto"/>
          <w:sz w:val="24"/>
          <w:szCs w:val="24"/>
          <w:vertAlign w:val="superscript"/>
        </w:rPr>
        <w:t>2</w:t>
      </w:r>
      <w:r>
        <w:rPr>
          <w:rFonts w:hint="eastAsia" w:ascii="Times New Roman" w:hAnsi="Times New Roman" w:cs="仿宋"/>
          <w:bCs/>
          <w:color w:val="auto"/>
          <w:sz w:val="24"/>
          <w:szCs w:val="24"/>
        </w:rPr>
        <w:t>。</w:t>
      </w:r>
    </w:p>
    <w:p>
      <w:pPr>
        <w:pStyle w:val="27"/>
        <w:numPr>
          <w:ilvl w:val="0"/>
          <w:numId w:val="25"/>
        </w:numPr>
        <w:tabs>
          <w:tab w:val="left" w:pos="0"/>
        </w:tabs>
        <w:spacing w:line="440" w:lineRule="exact"/>
        <w:ind w:left="0" w:firstLine="480"/>
        <w:outlineLvl w:val="3"/>
        <w:rPr>
          <w:rFonts w:ascii="Times New Roman" w:hAnsi="Times New Roman" w:cs="仿宋"/>
          <w:bCs/>
          <w:color w:val="auto"/>
          <w:sz w:val="24"/>
          <w:szCs w:val="24"/>
        </w:rPr>
      </w:pPr>
      <w:r>
        <w:rPr>
          <w:rFonts w:hint="eastAsia" w:ascii="Times New Roman" w:hAnsi="Times New Roman" w:cs="仿宋"/>
          <w:bCs/>
          <w:color w:val="auto"/>
          <w:sz w:val="24"/>
          <w:szCs w:val="24"/>
        </w:rPr>
        <w:t>APM</w:t>
      </w:r>
      <w:r>
        <w:rPr>
          <w:rFonts w:hint="eastAsia" w:ascii="Times New Roman" w:hAnsi="宋体" w:cs="仿宋_GB2312"/>
          <w:color w:val="auto"/>
          <w:kern w:val="0"/>
          <w:sz w:val="24"/>
          <w:szCs w:val="24"/>
        </w:rPr>
        <w:t>妇儿中心站</w:t>
      </w:r>
      <w:r>
        <w:rPr>
          <w:rFonts w:hint="eastAsia" w:ascii="Times New Roman" w:hAnsi="Times New Roman" w:cs="仿宋_GB2312"/>
          <w:color w:val="auto"/>
          <w:kern w:val="0"/>
          <w:sz w:val="24"/>
          <w:szCs w:val="24"/>
        </w:rPr>
        <w:t>B</w:t>
      </w:r>
      <w:r>
        <w:rPr>
          <w:rFonts w:hint="eastAsia" w:ascii="Times New Roman" w:hAnsi="宋体" w:cs="仿宋_GB2312"/>
          <w:color w:val="auto"/>
          <w:kern w:val="0"/>
          <w:sz w:val="24"/>
          <w:szCs w:val="24"/>
        </w:rPr>
        <w:t>入口</w:t>
      </w:r>
      <w:r>
        <w:rPr>
          <w:rFonts w:hint="eastAsia" w:ascii="Times New Roman" w:hAnsi="Times New Roman" w:cs="仿宋"/>
          <w:bCs/>
          <w:color w:val="auto"/>
          <w:sz w:val="24"/>
          <w:szCs w:val="24"/>
        </w:rPr>
        <w:t>P10全彩户外LED屏，显示面积约44m</w:t>
      </w:r>
      <w:r>
        <w:rPr>
          <w:rFonts w:hint="eastAsia" w:ascii="Times New Roman" w:hAnsi="Times New Roman" w:cs="仿宋"/>
          <w:bCs/>
          <w:color w:val="auto"/>
          <w:sz w:val="24"/>
          <w:szCs w:val="24"/>
          <w:vertAlign w:val="superscript"/>
        </w:rPr>
        <w:t>2</w:t>
      </w:r>
      <w:r>
        <w:rPr>
          <w:rFonts w:hint="eastAsia" w:ascii="Times New Roman" w:hAnsi="Times New Roman" w:cs="仿宋"/>
          <w:bCs/>
          <w:color w:val="auto"/>
          <w:sz w:val="24"/>
          <w:szCs w:val="24"/>
        </w:rPr>
        <w:t>。</w:t>
      </w:r>
    </w:p>
    <w:p>
      <w:pPr>
        <w:pStyle w:val="27"/>
        <w:numPr>
          <w:ilvl w:val="0"/>
          <w:numId w:val="25"/>
        </w:numPr>
        <w:tabs>
          <w:tab w:val="left" w:pos="0"/>
        </w:tabs>
        <w:spacing w:line="440" w:lineRule="exact"/>
        <w:ind w:left="0" w:firstLine="480"/>
        <w:outlineLvl w:val="3"/>
        <w:rPr>
          <w:rFonts w:ascii="Times New Roman" w:hAnsi="Times New Roman" w:cs="仿宋"/>
          <w:bCs/>
          <w:color w:val="auto"/>
          <w:sz w:val="24"/>
          <w:szCs w:val="24"/>
        </w:rPr>
      </w:pPr>
      <w:r>
        <w:rPr>
          <w:rFonts w:hint="eastAsia" w:ascii="Times New Roman" w:hAnsi="Times New Roman" w:cs="仿宋"/>
          <w:bCs/>
          <w:color w:val="auto"/>
          <w:sz w:val="24"/>
          <w:szCs w:val="24"/>
        </w:rPr>
        <w:t>花城汇A3入口P10全彩户外LED屏，显示面积约70m</w:t>
      </w:r>
      <w:r>
        <w:rPr>
          <w:rFonts w:hint="eastAsia" w:ascii="Times New Roman" w:hAnsi="Times New Roman" w:cs="仿宋"/>
          <w:bCs/>
          <w:color w:val="auto"/>
          <w:sz w:val="24"/>
          <w:szCs w:val="24"/>
          <w:vertAlign w:val="superscript"/>
        </w:rPr>
        <w:t>2</w:t>
      </w:r>
      <w:r>
        <w:rPr>
          <w:rFonts w:hint="eastAsia" w:ascii="Times New Roman" w:hAnsi="Times New Roman" w:cs="仿宋"/>
          <w:bCs/>
          <w:color w:val="auto"/>
          <w:sz w:val="24"/>
          <w:szCs w:val="24"/>
        </w:rPr>
        <w:t>。</w:t>
      </w:r>
    </w:p>
    <w:p>
      <w:pPr>
        <w:pStyle w:val="27"/>
        <w:numPr>
          <w:ilvl w:val="0"/>
          <w:numId w:val="25"/>
        </w:numPr>
        <w:tabs>
          <w:tab w:val="left" w:pos="0"/>
        </w:tabs>
        <w:spacing w:line="440" w:lineRule="exact"/>
        <w:ind w:left="0" w:firstLine="480"/>
        <w:outlineLvl w:val="3"/>
        <w:rPr>
          <w:rFonts w:ascii="Times New Roman" w:hAnsi="Times New Roman" w:cs="仿宋"/>
          <w:bCs/>
          <w:color w:val="auto"/>
          <w:sz w:val="24"/>
          <w:szCs w:val="24"/>
        </w:rPr>
      </w:pPr>
      <w:r>
        <w:rPr>
          <w:rFonts w:hint="eastAsia" w:ascii="Times New Roman" w:hAnsi="Times New Roman" w:cs="仿宋"/>
          <w:bCs/>
          <w:color w:val="auto"/>
          <w:sz w:val="24"/>
          <w:szCs w:val="24"/>
        </w:rPr>
        <w:t>花城汇北区东翼P10全彩户外LED屏，显示面积约40m</w:t>
      </w:r>
      <w:r>
        <w:rPr>
          <w:rFonts w:hint="eastAsia" w:ascii="Times New Roman" w:hAnsi="Times New Roman" w:cs="仿宋"/>
          <w:bCs/>
          <w:color w:val="auto"/>
          <w:sz w:val="24"/>
          <w:szCs w:val="24"/>
          <w:vertAlign w:val="superscript"/>
        </w:rPr>
        <w:t>2</w:t>
      </w:r>
      <w:r>
        <w:rPr>
          <w:rFonts w:hint="eastAsia" w:ascii="Times New Roman" w:hAnsi="Times New Roman" w:cs="仿宋"/>
          <w:bCs/>
          <w:color w:val="auto"/>
          <w:sz w:val="24"/>
          <w:szCs w:val="24"/>
        </w:rPr>
        <w:t>。</w:t>
      </w:r>
    </w:p>
    <w:p>
      <w:pPr>
        <w:pStyle w:val="27"/>
        <w:numPr>
          <w:ilvl w:val="0"/>
          <w:numId w:val="25"/>
        </w:numPr>
        <w:tabs>
          <w:tab w:val="left" w:pos="0"/>
        </w:tabs>
        <w:spacing w:line="440" w:lineRule="exact"/>
        <w:ind w:left="0" w:firstLine="480"/>
        <w:outlineLvl w:val="3"/>
        <w:rPr>
          <w:rFonts w:ascii="Times New Roman" w:hAnsi="Times New Roman" w:cs="仿宋"/>
          <w:bCs/>
          <w:color w:val="auto"/>
          <w:sz w:val="24"/>
          <w:szCs w:val="24"/>
        </w:rPr>
      </w:pPr>
      <w:r>
        <w:rPr>
          <w:rFonts w:hint="eastAsia" w:ascii="Times New Roman" w:hAnsi="Times New Roman" w:cs="仿宋"/>
          <w:bCs/>
          <w:color w:val="auto"/>
          <w:sz w:val="24"/>
          <w:szCs w:val="24"/>
          <w:lang w:val="en-US" w:eastAsia="zh-CN"/>
        </w:rPr>
        <w:t>黄埔大道</w:t>
      </w:r>
      <w:r>
        <w:rPr>
          <w:rFonts w:hint="eastAsia" w:ascii="Times New Roman" w:hAnsi="Times New Roman" w:cs="仿宋"/>
          <w:bCs/>
          <w:color w:val="auto"/>
          <w:sz w:val="24"/>
          <w:szCs w:val="24"/>
        </w:rPr>
        <w:t>A1口P10全彩户外LED屏，显示面积约37m</w:t>
      </w:r>
      <w:r>
        <w:rPr>
          <w:rFonts w:hint="eastAsia" w:ascii="Times New Roman" w:hAnsi="Times New Roman" w:cs="仿宋"/>
          <w:bCs/>
          <w:color w:val="auto"/>
          <w:sz w:val="24"/>
          <w:szCs w:val="24"/>
          <w:vertAlign w:val="superscript"/>
        </w:rPr>
        <w:t>2</w:t>
      </w:r>
      <w:r>
        <w:rPr>
          <w:rFonts w:hint="eastAsia" w:ascii="Times New Roman" w:hAnsi="Times New Roman" w:cs="仿宋"/>
          <w:bCs/>
          <w:color w:val="auto"/>
          <w:sz w:val="24"/>
          <w:szCs w:val="24"/>
        </w:rPr>
        <w:t>。</w:t>
      </w:r>
    </w:p>
    <w:p>
      <w:pPr>
        <w:pStyle w:val="27"/>
        <w:numPr>
          <w:ilvl w:val="0"/>
          <w:numId w:val="25"/>
        </w:numPr>
        <w:tabs>
          <w:tab w:val="left" w:pos="0"/>
        </w:tabs>
        <w:spacing w:line="440" w:lineRule="exact"/>
        <w:ind w:left="0" w:firstLine="480"/>
        <w:outlineLvl w:val="3"/>
        <w:rPr>
          <w:rFonts w:ascii="Times New Roman" w:hAnsi="Times New Roman" w:cs="仿宋"/>
          <w:bCs/>
          <w:color w:val="auto"/>
          <w:sz w:val="24"/>
          <w:szCs w:val="24"/>
        </w:rPr>
      </w:pPr>
      <w:r>
        <w:rPr>
          <w:rFonts w:hint="eastAsia" w:ascii="Times New Roman" w:hAnsi="宋体" w:cs="仿宋"/>
          <w:color w:val="auto"/>
          <w:sz w:val="24"/>
          <w:szCs w:val="24"/>
        </w:rPr>
        <w:t>花城汇中区东侧天桥</w:t>
      </w:r>
      <w:r>
        <w:rPr>
          <w:rFonts w:hint="eastAsia" w:ascii="Times New Roman" w:hAnsi="Times New Roman" w:cs="仿宋"/>
          <w:color w:val="auto"/>
          <w:sz w:val="24"/>
          <w:szCs w:val="24"/>
        </w:rPr>
        <w:t>P8</w:t>
      </w:r>
      <w:r>
        <w:rPr>
          <w:rFonts w:hint="eastAsia" w:ascii="Times New Roman" w:hAnsi="Times New Roman" w:cs="仿宋"/>
          <w:bCs/>
          <w:color w:val="auto"/>
          <w:sz w:val="24"/>
          <w:szCs w:val="24"/>
        </w:rPr>
        <w:t>全彩户外LED屏，显示面积约40m</w:t>
      </w:r>
      <w:r>
        <w:rPr>
          <w:rFonts w:hint="eastAsia" w:ascii="Times New Roman" w:hAnsi="Times New Roman" w:cs="仿宋"/>
          <w:bCs/>
          <w:color w:val="auto"/>
          <w:sz w:val="24"/>
          <w:szCs w:val="24"/>
          <w:vertAlign w:val="superscript"/>
        </w:rPr>
        <w:t>2</w:t>
      </w:r>
      <w:r>
        <w:rPr>
          <w:rFonts w:hint="eastAsia" w:ascii="Times New Roman" w:hAnsi="Times New Roman" w:cs="仿宋"/>
          <w:bCs/>
          <w:color w:val="auto"/>
          <w:sz w:val="24"/>
          <w:szCs w:val="24"/>
        </w:rPr>
        <w:t>。</w:t>
      </w:r>
    </w:p>
    <w:p>
      <w:pPr>
        <w:pStyle w:val="27"/>
        <w:numPr>
          <w:ilvl w:val="0"/>
          <w:numId w:val="25"/>
        </w:numPr>
        <w:tabs>
          <w:tab w:val="left" w:pos="0"/>
        </w:tabs>
        <w:spacing w:line="440" w:lineRule="exact"/>
        <w:ind w:left="0" w:firstLine="480"/>
        <w:outlineLvl w:val="3"/>
        <w:rPr>
          <w:rFonts w:ascii="Times New Roman" w:hAnsi="Times New Roman" w:cs="仿宋"/>
          <w:bCs/>
          <w:color w:val="auto"/>
          <w:sz w:val="24"/>
          <w:szCs w:val="24"/>
        </w:rPr>
      </w:pPr>
      <w:r>
        <w:rPr>
          <w:rFonts w:hint="eastAsia" w:ascii="Times New Roman" w:hAnsi="宋体" w:cs="仿宋"/>
          <w:color w:val="auto"/>
          <w:sz w:val="24"/>
          <w:szCs w:val="24"/>
        </w:rPr>
        <w:t>花城汇中区西侧天桥</w:t>
      </w:r>
      <w:r>
        <w:rPr>
          <w:rFonts w:hint="eastAsia" w:ascii="Times New Roman" w:hAnsi="Times New Roman" w:cs="仿宋"/>
          <w:color w:val="auto"/>
          <w:sz w:val="24"/>
          <w:szCs w:val="24"/>
        </w:rPr>
        <w:t>P8</w:t>
      </w:r>
      <w:r>
        <w:rPr>
          <w:rFonts w:hint="eastAsia" w:ascii="Times New Roman" w:hAnsi="Times New Roman" w:cs="仿宋"/>
          <w:bCs/>
          <w:color w:val="auto"/>
          <w:sz w:val="24"/>
          <w:szCs w:val="24"/>
        </w:rPr>
        <w:t>全彩户外LED屏，显示面积约29m</w:t>
      </w:r>
      <w:r>
        <w:rPr>
          <w:rFonts w:hint="eastAsia" w:ascii="Times New Roman" w:hAnsi="Times New Roman" w:cs="仿宋"/>
          <w:bCs/>
          <w:color w:val="auto"/>
          <w:sz w:val="24"/>
          <w:szCs w:val="24"/>
          <w:vertAlign w:val="superscript"/>
        </w:rPr>
        <w:t>2</w:t>
      </w:r>
      <w:r>
        <w:rPr>
          <w:rFonts w:hint="eastAsia" w:ascii="Times New Roman" w:hAnsi="Times New Roman" w:cs="仿宋"/>
          <w:bCs/>
          <w:color w:val="auto"/>
          <w:sz w:val="24"/>
          <w:szCs w:val="24"/>
        </w:rPr>
        <w:t>。</w:t>
      </w:r>
    </w:p>
    <w:p>
      <w:pPr>
        <w:pStyle w:val="27"/>
        <w:numPr>
          <w:ilvl w:val="0"/>
          <w:numId w:val="25"/>
        </w:numPr>
        <w:tabs>
          <w:tab w:val="left" w:pos="0"/>
        </w:tabs>
        <w:spacing w:line="440" w:lineRule="exact"/>
        <w:ind w:left="0" w:firstLine="480"/>
        <w:outlineLvl w:val="3"/>
        <w:rPr>
          <w:rFonts w:ascii="Times New Roman" w:hAnsi="Times New Roman" w:cs="仿宋"/>
          <w:bCs/>
          <w:color w:val="auto"/>
          <w:sz w:val="24"/>
          <w:szCs w:val="24"/>
        </w:rPr>
      </w:pPr>
      <w:r>
        <w:rPr>
          <w:rFonts w:hint="eastAsia" w:ascii="Times New Roman" w:hAnsi="Times New Roman" w:cs="仿宋"/>
          <w:bCs/>
          <w:color w:val="auto"/>
          <w:sz w:val="24"/>
          <w:szCs w:val="24"/>
        </w:rPr>
        <w:t>海心沙1层看台消防通道P4 全彩户外LED屏，显示面积约9m</w:t>
      </w:r>
      <w:r>
        <w:rPr>
          <w:rFonts w:hint="eastAsia" w:ascii="Times New Roman" w:hAnsi="Times New Roman" w:cs="仿宋"/>
          <w:bCs/>
          <w:color w:val="auto"/>
          <w:sz w:val="24"/>
          <w:szCs w:val="24"/>
          <w:vertAlign w:val="superscript"/>
        </w:rPr>
        <w:t>2</w:t>
      </w:r>
      <w:r>
        <w:rPr>
          <w:rFonts w:hint="eastAsia" w:ascii="Times New Roman" w:hAnsi="Times New Roman" w:cs="仿宋"/>
          <w:bCs/>
          <w:color w:val="auto"/>
          <w:sz w:val="24"/>
          <w:szCs w:val="24"/>
        </w:rPr>
        <w:t>。</w:t>
      </w:r>
    </w:p>
    <w:p>
      <w:pPr>
        <w:tabs>
          <w:tab w:val="left" w:pos="0"/>
        </w:tabs>
        <w:spacing w:line="440" w:lineRule="exact"/>
        <w:ind w:firstLine="480" w:firstLineChars="200"/>
        <w:outlineLvl w:val="3"/>
        <w:rPr>
          <w:rFonts w:ascii="Times New Roman" w:hAnsi="Times New Roman" w:cs="仿宋"/>
          <w:bCs/>
          <w:sz w:val="24"/>
          <w:szCs w:val="24"/>
        </w:rPr>
      </w:pPr>
      <w:r>
        <w:rPr>
          <w:rFonts w:hint="eastAsia" w:ascii="Times New Roman" w:hAnsi="Times New Roman" w:cs="仿宋"/>
          <w:bCs/>
          <w:sz w:val="24"/>
          <w:szCs w:val="24"/>
        </w:rPr>
        <w:t>招选一家服务单位，对</w:t>
      </w:r>
      <w:r>
        <w:rPr>
          <w:rFonts w:hint="eastAsia" w:ascii="Times New Roman" w:hAnsi="Times New Roman" w:cs="仿宋"/>
          <w:bCs/>
          <w:color w:val="auto"/>
          <w:sz w:val="24"/>
          <w:szCs w:val="24"/>
        </w:rPr>
        <w:t>上述9块全彩户外</w:t>
      </w:r>
      <w:r>
        <w:rPr>
          <w:rFonts w:hint="eastAsia" w:ascii="Times New Roman" w:hAnsi="Times New Roman" w:cs="仿宋"/>
          <w:bCs/>
          <w:sz w:val="24"/>
          <w:szCs w:val="24"/>
        </w:rPr>
        <w:t>LED显示屏提供维护维修、保养、现场保障等。</w:t>
      </w:r>
    </w:p>
    <w:p>
      <w:pPr>
        <w:pStyle w:val="27"/>
        <w:tabs>
          <w:tab w:val="left" w:pos="0"/>
          <w:tab w:val="left" w:pos="1134"/>
        </w:tabs>
        <w:spacing w:line="440" w:lineRule="exact"/>
        <w:ind w:left="480" w:firstLine="0" w:firstLineChars="0"/>
        <w:rPr>
          <w:rFonts w:ascii="Times New Roman" w:hAnsi="Times New Roman"/>
          <w:sz w:val="24"/>
        </w:rPr>
      </w:pPr>
      <w:r>
        <w:rPr>
          <w:rFonts w:hint="eastAsia" w:ascii="Times New Roman" w:hAnsi="宋体"/>
          <w:sz w:val="24"/>
        </w:rPr>
        <w:t>（一）宗旨</w:t>
      </w:r>
    </w:p>
    <w:p>
      <w:pPr>
        <w:tabs>
          <w:tab w:val="left" w:pos="0"/>
        </w:tabs>
        <w:adjustRightInd w:val="0"/>
        <w:snapToGrid w:val="0"/>
        <w:spacing w:line="440" w:lineRule="exact"/>
        <w:ind w:firstLine="480" w:firstLineChars="200"/>
        <w:outlineLvl w:val="3"/>
        <w:rPr>
          <w:rFonts w:ascii="Times New Roman" w:hAnsi="Times New Roman" w:cs="宋体"/>
          <w:sz w:val="24"/>
          <w:szCs w:val="24"/>
        </w:rPr>
      </w:pPr>
      <w:r>
        <w:rPr>
          <w:rFonts w:hint="eastAsia" w:ascii="Times New Roman" w:hAnsi="宋体" w:cs="仿宋_GB2312"/>
          <w:kern w:val="0"/>
          <w:sz w:val="24"/>
          <w:szCs w:val="24"/>
        </w:rPr>
        <w:t>保障花城汇</w:t>
      </w:r>
      <w:r>
        <w:rPr>
          <w:rFonts w:hint="eastAsia" w:ascii="Times New Roman" w:hAnsi="宋体" w:cs="仿宋_GB2312"/>
          <w:color w:val="auto"/>
          <w:kern w:val="0"/>
          <w:sz w:val="24"/>
          <w:szCs w:val="24"/>
        </w:rPr>
        <w:t>商业区9块全彩户外</w:t>
      </w:r>
      <w:r>
        <w:rPr>
          <w:rFonts w:hint="eastAsia" w:ascii="Times New Roman" w:hAnsi="Times New Roman" w:cs="仿宋_GB2312"/>
          <w:color w:val="auto"/>
          <w:kern w:val="0"/>
          <w:sz w:val="24"/>
          <w:szCs w:val="24"/>
        </w:rPr>
        <w:t>LED</w:t>
      </w:r>
      <w:r>
        <w:rPr>
          <w:rFonts w:hint="eastAsia" w:ascii="Times New Roman" w:hAnsi="宋体" w:cs="仿宋_GB2312"/>
          <w:kern w:val="0"/>
          <w:sz w:val="24"/>
          <w:szCs w:val="24"/>
        </w:rPr>
        <w:t>显示屏安全稳定运行</w:t>
      </w:r>
      <w:r>
        <w:rPr>
          <w:rFonts w:hint="eastAsia" w:ascii="Times New Roman" w:hAnsi="宋体" w:cs="仿宋_GB2312"/>
          <w:sz w:val="24"/>
        </w:rPr>
        <w:t>。</w:t>
      </w:r>
    </w:p>
    <w:p>
      <w:pPr>
        <w:pStyle w:val="27"/>
        <w:tabs>
          <w:tab w:val="left" w:pos="0"/>
          <w:tab w:val="left" w:pos="1134"/>
        </w:tabs>
        <w:spacing w:line="440" w:lineRule="exact"/>
        <w:ind w:left="480" w:firstLine="0" w:firstLineChars="0"/>
        <w:rPr>
          <w:rFonts w:ascii="Times New Roman" w:hAnsi="Times New Roman"/>
          <w:sz w:val="24"/>
        </w:rPr>
      </w:pPr>
      <w:r>
        <w:rPr>
          <w:rFonts w:hint="eastAsia" w:ascii="Times New Roman" w:hAnsi="宋体" w:cs="SimSun-Identity-H"/>
          <w:kern w:val="0"/>
          <w:sz w:val="24"/>
        </w:rPr>
        <w:t>（二）项目主题</w:t>
      </w:r>
    </w:p>
    <w:p>
      <w:pPr>
        <w:tabs>
          <w:tab w:val="left" w:pos="0"/>
        </w:tabs>
        <w:spacing w:line="440" w:lineRule="exact"/>
        <w:ind w:firstLine="480" w:firstLineChars="200"/>
        <w:outlineLvl w:val="3"/>
        <w:rPr>
          <w:rFonts w:ascii="Times New Roman" w:hAnsi="Times New Roman"/>
          <w:sz w:val="24"/>
        </w:rPr>
      </w:pPr>
      <w:r>
        <w:rPr>
          <w:rFonts w:hint="eastAsia" w:ascii="Times New Roman" w:hAnsi="宋体" w:cs="仿宋"/>
          <w:bCs/>
          <w:sz w:val="24"/>
          <w:szCs w:val="24"/>
        </w:rPr>
        <w:t>选定</w:t>
      </w:r>
      <w:r>
        <w:rPr>
          <w:rFonts w:hint="eastAsia" w:ascii="Times New Roman" w:hAnsi="宋体" w:cs="仿宋_GB2312"/>
          <w:color w:val="auto"/>
          <w:kern w:val="0"/>
          <w:sz w:val="24"/>
          <w:szCs w:val="24"/>
        </w:rPr>
        <w:t>花城汇商业区LED屏2023年度维修保养服务采购项目的服务单位。</w:t>
      </w:r>
    </w:p>
    <w:p>
      <w:pPr>
        <w:pStyle w:val="27"/>
        <w:tabs>
          <w:tab w:val="left" w:pos="0"/>
          <w:tab w:val="left" w:pos="1134"/>
        </w:tabs>
        <w:spacing w:line="440" w:lineRule="exact"/>
        <w:ind w:left="480" w:firstLine="0" w:firstLineChars="0"/>
        <w:rPr>
          <w:rFonts w:ascii="Times New Roman" w:hAnsi="Times New Roman"/>
          <w:bCs/>
          <w:sz w:val="24"/>
        </w:rPr>
      </w:pPr>
      <w:r>
        <w:rPr>
          <w:rFonts w:hint="eastAsia" w:ascii="Times New Roman" w:hAnsi="宋体" w:cs="SimSun-Identity-H"/>
          <w:kern w:val="0"/>
          <w:sz w:val="24"/>
        </w:rPr>
        <w:t>（三）项目</w:t>
      </w:r>
      <w:r>
        <w:rPr>
          <w:rFonts w:hint="eastAsia" w:ascii="Times New Roman" w:hAnsi="宋体"/>
          <w:sz w:val="24"/>
        </w:rPr>
        <w:t>地点</w:t>
      </w:r>
    </w:p>
    <w:p>
      <w:pPr>
        <w:tabs>
          <w:tab w:val="left" w:pos="0"/>
        </w:tabs>
        <w:spacing w:line="440" w:lineRule="exact"/>
        <w:ind w:firstLine="480" w:firstLineChars="200"/>
        <w:outlineLvl w:val="3"/>
        <w:rPr>
          <w:rFonts w:ascii="Times New Roman" w:hAnsi="Times New Roman"/>
          <w:bCs/>
          <w:color w:val="auto"/>
          <w:sz w:val="24"/>
        </w:rPr>
      </w:pPr>
      <w:r>
        <w:rPr>
          <w:rFonts w:hint="eastAsia" w:ascii="Times New Roman" w:hAnsi="宋体"/>
          <w:bCs/>
          <w:color w:val="auto"/>
          <w:sz w:val="24"/>
          <w:szCs w:val="24"/>
        </w:rPr>
        <w:t>花城汇中区和北区，海心沙。</w:t>
      </w:r>
    </w:p>
    <w:p>
      <w:pPr>
        <w:spacing w:line="440" w:lineRule="exact"/>
        <w:ind w:firstLine="482" w:firstLineChars="200"/>
        <w:rPr>
          <w:rFonts w:ascii="宋体" w:hAnsi="宋体"/>
          <w:b/>
          <w:sz w:val="24"/>
          <w:szCs w:val="24"/>
        </w:rPr>
      </w:pPr>
      <w:r>
        <w:rPr>
          <w:rFonts w:hint="eastAsia" w:ascii="宋体" w:hAnsi="宋体"/>
          <w:b/>
          <w:sz w:val="24"/>
          <w:szCs w:val="24"/>
        </w:rPr>
        <w:t>二、商务要求</w:t>
      </w:r>
    </w:p>
    <w:p>
      <w:pPr>
        <w:tabs>
          <w:tab w:val="left" w:pos="0"/>
          <w:tab w:val="left" w:pos="1134"/>
        </w:tabs>
        <w:spacing w:line="440" w:lineRule="exact"/>
        <w:ind w:firstLine="480" w:firstLineChars="200"/>
        <w:rPr>
          <w:rFonts w:ascii="Times New Roman" w:hAnsi="Times New Roman"/>
          <w:sz w:val="24"/>
        </w:rPr>
      </w:pPr>
      <w:r>
        <w:rPr>
          <w:rFonts w:hint="eastAsia" w:ascii="Times New Roman" w:hAnsi="宋体"/>
          <w:sz w:val="24"/>
        </w:rPr>
        <w:t>（一）竞投报价</w:t>
      </w:r>
    </w:p>
    <w:p>
      <w:pPr>
        <w:tabs>
          <w:tab w:val="left" w:pos="0"/>
        </w:tabs>
        <w:spacing w:line="440" w:lineRule="exact"/>
        <w:ind w:firstLine="480" w:firstLineChars="200"/>
        <w:outlineLvl w:val="3"/>
        <w:rPr>
          <w:rFonts w:ascii="Times New Roman" w:hAnsi="Times New Roman" w:cs="宋体"/>
          <w:sz w:val="24"/>
          <w:szCs w:val="24"/>
        </w:rPr>
      </w:pPr>
      <w:r>
        <w:rPr>
          <w:rFonts w:hint="eastAsia" w:ascii="Times New Roman" w:hAnsi="宋体" w:cs="宋体"/>
          <w:sz w:val="24"/>
          <w:szCs w:val="24"/>
        </w:rPr>
        <w:t>由竞投人报</w:t>
      </w:r>
      <w:r>
        <w:rPr>
          <w:rFonts w:hint="eastAsia" w:ascii="宋体" w:hAnsi="宋体" w:eastAsia="宋体" w:cs="宋体"/>
          <w:sz w:val="24"/>
          <w:szCs w:val="24"/>
        </w:rPr>
        <w:t>价，最高限价人民币</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sz w:val="24"/>
          <w:szCs w:val="24"/>
          <w:highlight w:val="none"/>
          <w:u w:val="single"/>
          <w:lang w:val="en-US" w:eastAsia="zh-CN"/>
        </w:rPr>
        <w:t>390380</w:t>
      </w:r>
      <w:r>
        <w:rPr>
          <w:rFonts w:hint="eastAsia" w:ascii="宋体" w:hAnsi="宋体" w:eastAsia="宋体" w:cs="宋体"/>
          <w:color w:val="auto"/>
          <w:sz w:val="24"/>
          <w:szCs w:val="24"/>
          <w:highlight w:val="none"/>
          <w:u w:val="single"/>
        </w:rPr>
        <w:t>.00</w:t>
      </w:r>
      <w:r>
        <w:rPr>
          <w:rFonts w:hint="eastAsia" w:ascii="宋体" w:hAnsi="宋体" w:eastAsia="宋体" w:cs="宋体"/>
          <w:sz w:val="24"/>
          <w:szCs w:val="24"/>
        </w:rPr>
        <w:t>元（含增值税），高</w:t>
      </w:r>
      <w:r>
        <w:rPr>
          <w:rFonts w:hint="eastAsia" w:ascii="Times New Roman" w:hAnsi="宋体" w:cs="宋体"/>
          <w:sz w:val="24"/>
          <w:szCs w:val="24"/>
        </w:rPr>
        <w:t>于限价的报价无效。实行总价包干，报价包括材料、人工费、工具、机具、安装费、利润、管理费、规费、税费等全部费用。</w:t>
      </w:r>
    </w:p>
    <w:p>
      <w:pPr>
        <w:tabs>
          <w:tab w:val="left" w:pos="0"/>
          <w:tab w:val="left" w:pos="1134"/>
        </w:tabs>
        <w:spacing w:line="440" w:lineRule="exact"/>
        <w:ind w:firstLine="480" w:firstLineChars="200"/>
        <w:rPr>
          <w:rFonts w:ascii="Times New Roman" w:hAnsi="Times New Roman"/>
          <w:sz w:val="24"/>
        </w:rPr>
      </w:pPr>
      <w:r>
        <w:rPr>
          <w:rFonts w:hint="eastAsia" w:ascii="Times New Roman" w:hAnsi="宋体"/>
          <w:sz w:val="24"/>
        </w:rPr>
        <w:t>（二）其他</w:t>
      </w:r>
    </w:p>
    <w:p>
      <w:pPr>
        <w:tabs>
          <w:tab w:val="left" w:pos="0"/>
        </w:tabs>
        <w:spacing w:line="440" w:lineRule="exact"/>
        <w:ind w:firstLine="480" w:firstLineChars="200"/>
        <w:outlineLvl w:val="3"/>
        <w:rPr>
          <w:rFonts w:ascii="Times New Roman" w:hAnsi="宋体" w:cs="宋体"/>
          <w:sz w:val="24"/>
          <w:szCs w:val="24"/>
        </w:rPr>
      </w:pPr>
      <w:r>
        <w:rPr>
          <w:rFonts w:hint="eastAsia" w:ascii="Times New Roman" w:hAnsi="宋体" w:cs="宋体"/>
          <w:sz w:val="24"/>
          <w:szCs w:val="24"/>
        </w:rPr>
        <w:t>除招选人在竞选文件中明确外，中选单位不得以任何方式转包、分包或挂靠本项目。如发现中选单位以转包、分包或挂靠的方式谋取选中，招选人有权解除合同及要求赔偿。</w:t>
      </w:r>
    </w:p>
    <w:p>
      <w:pPr>
        <w:spacing w:line="440" w:lineRule="exact"/>
        <w:ind w:firstLine="482" w:firstLineChars="200"/>
        <w:rPr>
          <w:rFonts w:ascii="宋体" w:hAnsi="宋体"/>
          <w:b/>
          <w:sz w:val="24"/>
          <w:szCs w:val="24"/>
        </w:rPr>
      </w:pPr>
      <w:r>
        <w:rPr>
          <w:rFonts w:hint="eastAsia" w:ascii="宋体" w:hAnsi="宋体"/>
          <w:b/>
          <w:sz w:val="24"/>
          <w:szCs w:val="24"/>
        </w:rPr>
        <w:t>三、项目服务内容</w:t>
      </w:r>
    </w:p>
    <w:p>
      <w:pPr>
        <w:tabs>
          <w:tab w:val="left" w:pos="0"/>
        </w:tabs>
        <w:spacing w:line="440" w:lineRule="exact"/>
        <w:ind w:firstLine="480" w:firstLineChars="200"/>
        <w:outlineLvl w:val="3"/>
        <w:rPr>
          <w:rFonts w:ascii="Times New Roman" w:hAnsi="Times New Roman" w:cs="仿宋_GB2312"/>
          <w:color w:val="auto"/>
          <w:kern w:val="0"/>
          <w:sz w:val="24"/>
          <w:szCs w:val="24"/>
        </w:rPr>
      </w:pPr>
      <w:r>
        <w:rPr>
          <w:rFonts w:hint="eastAsia" w:ascii="Times New Roman" w:hAnsi="Times New Roman" w:cs="仿宋"/>
          <w:sz w:val="24"/>
          <w:szCs w:val="24"/>
        </w:rPr>
        <w:t>中选人在服务期限内应为招选人就</w:t>
      </w:r>
      <w:r>
        <w:rPr>
          <w:rFonts w:hint="eastAsia" w:ascii="Times New Roman" w:hAnsi="Times New Roman" w:cs="仿宋"/>
          <w:color w:val="auto"/>
          <w:sz w:val="24"/>
          <w:szCs w:val="24"/>
        </w:rPr>
        <w:t>花城汇商业区LED屏2023年度维修保养服务采购项目提供如下服务内容（包括但不限于）</w:t>
      </w:r>
      <w:r>
        <w:rPr>
          <w:rFonts w:hint="eastAsia" w:ascii="宋体" w:hAnsi="宋体" w:cs="仿宋_GB2312"/>
          <w:color w:val="auto"/>
          <w:kern w:val="0"/>
          <w:sz w:val="24"/>
          <w:szCs w:val="24"/>
        </w:rPr>
        <w:t>：</w:t>
      </w:r>
    </w:p>
    <w:p>
      <w:pPr>
        <w:pStyle w:val="27"/>
        <w:numPr>
          <w:ilvl w:val="0"/>
          <w:numId w:val="26"/>
        </w:numPr>
        <w:tabs>
          <w:tab w:val="left" w:pos="0"/>
        </w:tabs>
        <w:spacing w:line="440" w:lineRule="exact"/>
        <w:ind w:left="0" w:firstLine="480"/>
        <w:outlineLvl w:val="3"/>
        <w:rPr>
          <w:rFonts w:ascii="Times New Roman" w:hAnsi="Times New Roman" w:cs="仿宋"/>
          <w:sz w:val="24"/>
          <w:szCs w:val="24"/>
        </w:rPr>
      </w:pPr>
      <w:r>
        <w:rPr>
          <w:rFonts w:hint="eastAsia" w:ascii="Times New Roman" w:hAnsi="Times New Roman" w:cs="仿宋"/>
          <w:sz w:val="24"/>
          <w:szCs w:val="24"/>
        </w:rPr>
        <w:t>中选人为各LED屏提供维修保养和应急保障服务，对屏体、钢结构及外包边、播放及控制系统的软硬件、供电系统、线材等进行维修保养和应急保障。</w:t>
      </w:r>
    </w:p>
    <w:p>
      <w:pPr>
        <w:pStyle w:val="27"/>
        <w:numPr>
          <w:ilvl w:val="0"/>
          <w:numId w:val="26"/>
        </w:numPr>
        <w:tabs>
          <w:tab w:val="left" w:pos="0"/>
        </w:tabs>
        <w:spacing w:line="440" w:lineRule="exact"/>
        <w:ind w:left="0" w:firstLine="480"/>
        <w:outlineLvl w:val="3"/>
        <w:rPr>
          <w:rFonts w:ascii="Times New Roman" w:hAnsi="Times New Roman" w:cs="仿宋"/>
          <w:sz w:val="24"/>
          <w:szCs w:val="24"/>
        </w:rPr>
      </w:pPr>
      <w:r>
        <w:rPr>
          <w:rFonts w:ascii="Times New Roman" w:hAnsi="Times New Roman" w:cs="仿宋"/>
          <w:sz w:val="24"/>
          <w:szCs w:val="24"/>
        </w:rPr>
        <w:t>中选人投入该项目人员数不少于3人，</w:t>
      </w:r>
      <w:r>
        <w:rPr>
          <w:rFonts w:hint="eastAsia" w:ascii="Times New Roman" w:hAnsi="Times New Roman" w:cs="仿宋"/>
          <w:sz w:val="24"/>
          <w:szCs w:val="24"/>
        </w:rPr>
        <w:t>中选人需安排维修人员全年每天24小时待命，接招选人故障维修通知后，中选人的维修人员在 2小时内到达故障LED屏现场。</w:t>
      </w:r>
    </w:p>
    <w:p>
      <w:pPr>
        <w:pStyle w:val="27"/>
        <w:numPr>
          <w:ilvl w:val="0"/>
          <w:numId w:val="26"/>
        </w:numPr>
        <w:tabs>
          <w:tab w:val="left" w:pos="0"/>
        </w:tabs>
        <w:spacing w:line="440" w:lineRule="exact"/>
        <w:ind w:left="0" w:firstLine="480"/>
        <w:outlineLvl w:val="3"/>
        <w:rPr>
          <w:rFonts w:ascii="Times New Roman" w:hAnsi="Times New Roman" w:cs="仿宋"/>
          <w:sz w:val="24"/>
          <w:szCs w:val="24"/>
        </w:rPr>
      </w:pPr>
      <w:r>
        <w:rPr>
          <w:rFonts w:hint="eastAsia" w:ascii="Times New Roman" w:hAnsi="Times New Roman" w:cs="仿宋"/>
          <w:sz w:val="24"/>
          <w:szCs w:val="24"/>
        </w:rPr>
        <w:t>中选人接到招选人应急保障通知后，中选人的技术保障人员需在规定时间内到达招选人指定的LED屏现场，并按照招选人要求对需保障的LED屏进行全面的检修，为LED屏正常运行提供全程保障。</w:t>
      </w:r>
    </w:p>
    <w:p>
      <w:pPr>
        <w:pStyle w:val="27"/>
        <w:numPr>
          <w:ilvl w:val="0"/>
          <w:numId w:val="26"/>
        </w:numPr>
        <w:tabs>
          <w:tab w:val="left" w:pos="0"/>
        </w:tabs>
        <w:spacing w:line="440" w:lineRule="exact"/>
        <w:ind w:left="0" w:firstLine="480"/>
        <w:outlineLvl w:val="3"/>
        <w:rPr>
          <w:rFonts w:ascii="Times New Roman" w:hAnsi="Times New Roman" w:cs="仿宋"/>
          <w:sz w:val="24"/>
          <w:szCs w:val="24"/>
        </w:rPr>
      </w:pPr>
      <w:r>
        <w:rPr>
          <w:rFonts w:hint="eastAsia" w:ascii="Times New Roman" w:hAnsi="Times New Roman" w:cs="仿宋"/>
          <w:sz w:val="24"/>
          <w:szCs w:val="24"/>
        </w:rPr>
        <w:t>中选人需定期对各LED屏进行巡检，服务期内不少于1次对各LED屏钢结构除锈防腐，每季度不少于一次对屏内设备清洁除尘，发现外包边漏水及时补漏，发现消防设备故障及时更换。</w:t>
      </w:r>
    </w:p>
    <w:p>
      <w:pPr>
        <w:pStyle w:val="27"/>
        <w:numPr>
          <w:ilvl w:val="0"/>
          <w:numId w:val="26"/>
        </w:numPr>
        <w:tabs>
          <w:tab w:val="left" w:pos="0"/>
        </w:tabs>
        <w:spacing w:line="440" w:lineRule="exact"/>
        <w:ind w:left="0" w:firstLine="480"/>
        <w:outlineLvl w:val="3"/>
        <w:rPr>
          <w:rFonts w:ascii="仿宋" w:hAnsi="仿宋" w:eastAsia="仿宋" w:cs="仿宋"/>
          <w:bCs/>
          <w:sz w:val="28"/>
          <w:szCs w:val="28"/>
        </w:rPr>
      </w:pPr>
      <w:r>
        <w:rPr>
          <w:rFonts w:hint="eastAsia" w:ascii="Times New Roman" w:hAnsi="Times New Roman" w:cs="仿宋"/>
          <w:sz w:val="24"/>
          <w:szCs w:val="24"/>
        </w:rPr>
        <w:t>除以上内容外，还应包括正常使用和运行的其他所需材料及维保等工作。</w:t>
      </w:r>
    </w:p>
    <w:p>
      <w:pPr>
        <w:spacing w:line="440" w:lineRule="exact"/>
        <w:ind w:firstLine="482" w:firstLineChars="200"/>
        <w:rPr>
          <w:rFonts w:ascii="宋体" w:hAnsi="宋体"/>
          <w:b/>
          <w:sz w:val="24"/>
          <w:szCs w:val="24"/>
        </w:rPr>
      </w:pPr>
      <w:r>
        <w:rPr>
          <w:rFonts w:hint="eastAsia" w:ascii="宋体" w:hAnsi="宋体"/>
          <w:b/>
          <w:sz w:val="24"/>
          <w:szCs w:val="24"/>
        </w:rPr>
        <w:t>四、项目服务期</w:t>
      </w:r>
    </w:p>
    <w:p>
      <w:pPr>
        <w:tabs>
          <w:tab w:val="left" w:pos="0"/>
          <w:tab w:val="left" w:pos="1134"/>
        </w:tabs>
        <w:spacing w:line="440" w:lineRule="exact"/>
        <w:ind w:firstLine="480" w:firstLineChars="200"/>
        <w:rPr>
          <w:rFonts w:ascii="Times New Roman" w:hAnsi="Times New Roman"/>
          <w:color w:val="auto"/>
          <w:sz w:val="24"/>
        </w:rPr>
      </w:pPr>
      <w:r>
        <w:rPr>
          <w:rFonts w:hint="eastAsia" w:ascii="Times New Roman" w:hAnsi="宋体"/>
          <w:sz w:val="24"/>
        </w:rPr>
        <w:t>按合同签订条款，项目</w:t>
      </w:r>
      <w:r>
        <w:rPr>
          <w:rFonts w:hint="eastAsia" w:ascii="Times New Roman" w:hAnsi="宋体"/>
          <w:color w:val="auto"/>
          <w:sz w:val="24"/>
        </w:rPr>
        <w:t>服务期</w:t>
      </w:r>
      <w:r>
        <w:rPr>
          <w:rFonts w:hint="eastAsia" w:ascii="Times New Roman" w:hAnsi="宋体"/>
          <w:color w:val="auto"/>
          <w:sz w:val="24"/>
          <w:lang w:val="en-US" w:eastAsia="zh-CN"/>
        </w:rPr>
        <w:t>壹年</w:t>
      </w:r>
      <w:r>
        <w:rPr>
          <w:rFonts w:hint="eastAsia" w:ascii="Times New Roman" w:hAnsi="宋体"/>
          <w:color w:val="auto"/>
          <w:sz w:val="24"/>
        </w:rPr>
        <w:t>：</w:t>
      </w:r>
      <w:r>
        <w:rPr>
          <w:rFonts w:hint="eastAsia" w:ascii="Times New Roman" w:hAnsi="Times New Roman" w:cs="仿宋"/>
          <w:color w:val="auto"/>
          <w:sz w:val="24"/>
          <w:szCs w:val="24"/>
          <w:u w:val="single"/>
          <w:lang w:val="en-US" w:eastAsia="zh-CN"/>
        </w:rPr>
        <w:t>2023</w:t>
      </w:r>
      <w:r>
        <w:rPr>
          <w:rFonts w:hint="eastAsia" w:ascii="Times New Roman" w:hAnsi="Times New Roman" w:cs="仿宋"/>
          <w:color w:val="auto"/>
          <w:sz w:val="24"/>
          <w:szCs w:val="24"/>
        </w:rPr>
        <w:t>年</w:t>
      </w:r>
      <w:r>
        <w:rPr>
          <w:rFonts w:hint="eastAsia" w:ascii="Times New Roman" w:hAnsi="Times New Roman" w:cs="仿宋"/>
          <w:color w:val="auto"/>
          <w:sz w:val="24"/>
          <w:szCs w:val="24"/>
          <w:u w:val="single"/>
          <w:lang w:val="en-US" w:eastAsia="zh-CN"/>
        </w:rPr>
        <w:t>1</w:t>
      </w:r>
      <w:r>
        <w:rPr>
          <w:rFonts w:hint="eastAsia" w:ascii="Times New Roman" w:hAnsi="Times New Roman" w:cs="仿宋"/>
          <w:color w:val="auto"/>
          <w:sz w:val="24"/>
          <w:szCs w:val="24"/>
        </w:rPr>
        <w:t>月</w:t>
      </w:r>
      <w:r>
        <w:rPr>
          <w:rFonts w:hint="eastAsia" w:ascii="Times New Roman" w:hAnsi="Times New Roman" w:cs="仿宋"/>
          <w:color w:val="auto"/>
          <w:sz w:val="24"/>
          <w:szCs w:val="24"/>
          <w:u w:val="single"/>
          <w:lang w:val="en-US" w:eastAsia="zh-CN"/>
        </w:rPr>
        <w:t>1</w:t>
      </w:r>
      <w:r>
        <w:rPr>
          <w:rFonts w:hint="eastAsia" w:ascii="Times New Roman" w:hAnsi="Times New Roman" w:cs="仿宋"/>
          <w:color w:val="auto"/>
          <w:sz w:val="24"/>
          <w:szCs w:val="24"/>
        </w:rPr>
        <w:t>日至</w:t>
      </w:r>
      <w:r>
        <w:rPr>
          <w:rFonts w:hint="eastAsia" w:ascii="Times New Roman" w:hAnsi="Times New Roman" w:cs="仿宋"/>
          <w:color w:val="auto"/>
          <w:sz w:val="24"/>
          <w:szCs w:val="24"/>
          <w:u w:val="single"/>
          <w:lang w:val="en-US" w:eastAsia="zh-CN"/>
        </w:rPr>
        <w:t>2023</w:t>
      </w:r>
      <w:r>
        <w:rPr>
          <w:rFonts w:hint="eastAsia" w:ascii="Times New Roman" w:hAnsi="Times New Roman" w:cs="仿宋"/>
          <w:color w:val="auto"/>
          <w:sz w:val="24"/>
          <w:szCs w:val="24"/>
        </w:rPr>
        <w:t>年</w:t>
      </w:r>
      <w:r>
        <w:rPr>
          <w:rFonts w:hint="eastAsia" w:ascii="Times New Roman" w:hAnsi="Times New Roman" w:cs="仿宋"/>
          <w:color w:val="auto"/>
          <w:sz w:val="24"/>
          <w:szCs w:val="24"/>
          <w:u w:val="single"/>
          <w:lang w:val="en-US" w:eastAsia="zh-CN"/>
        </w:rPr>
        <w:t>12</w:t>
      </w:r>
      <w:r>
        <w:rPr>
          <w:rFonts w:hint="eastAsia" w:ascii="Times New Roman" w:hAnsi="Times New Roman" w:cs="仿宋"/>
          <w:color w:val="auto"/>
          <w:sz w:val="24"/>
          <w:szCs w:val="24"/>
        </w:rPr>
        <w:t>月</w:t>
      </w:r>
      <w:r>
        <w:rPr>
          <w:rFonts w:hint="eastAsia" w:ascii="Times New Roman" w:hAnsi="Times New Roman" w:cs="仿宋"/>
          <w:color w:val="auto"/>
          <w:sz w:val="24"/>
          <w:szCs w:val="24"/>
          <w:u w:val="single"/>
          <w:lang w:val="en-US" w:eastAsia="zh-CN"/>
        </w:rPr>
        <w:t>31</w:t>
      </w:r>
      <w:r>
        <w:rPr>
          <w:rFonts w:hint="eastAsia" w:ascii="Times New Roman" w:hAnsi="Times New Roman" w:cs="仿宋"/>
          <w:color w:val="auto"/>
          <w:sz w:val="24"/>
          <w:szCs w:val="24"/>
        </w:rPr>
        <w:t>日。</w:t>
      </w:r>
    </w:p>
    <w:p>
      <w:pPr>
        <w:spacing w:line="440" w:lineRule="exact"/>
        <w:ind w:firstLine="482" w:firstLineChars="200"/>
        <w:rPr>
          <w:rFonts w:ascii="宋体" w:hAnsi="宋体"/>
          <w:b/>
          <w:color w:val="auto"/>
          <w:sz w:val="24"/>
          <w:szCs w:val="24"/>
        </w:rPr>
      </w:pPr>
      <w:r>
        <w:rPr>
          <w:rFonts w:hint="eastAsia" w:ascii="宋体" w:hAnsi="宋体"/>
          <w:b/>
          <w:color w:val="auto"/>
          <w:sz w:val="24"/>
          <w:szCs w:val="24"/>
        </w:rPr>
        <w:t>五、服务保障措施</w:t>
      </w:r>
    </w:p>
    <w:p>
      <w:pPr>
        <w:pStyle w:val="27"/>
        <w:numPr>
          <w:ilvl w:val="0"/>
          <w:numId w:val="27"/>
        </w:numPr>
        <w:tabs>
          <w:tab w:val="left" w:pos="0"/>
        </w:tabs>
        <w:spacing w:line="440" w:lineRule="exact"/>
        <w:ind w:left="0" w:firstLine="480"/>
        <w:outlineLvl w:val="3"/>
        <w:rPr>
          <w:rFonts w:ascii="Times New Roman" w:hAnsi="Times New Roman" w:cs="仿宋"/>
          <w:sz w:val="24"/>
          <w:szCs w:val="24"/>
        </w:rPr>
      </w:pPr>
      <w:r>
        <w:rPr>
          <w:rFonts w:hint="eastAsia" w:ascii="Times New Roman" w:hAnsi="Times New Roman" w:cs="仿宋"/>
          <w:sz w:val="24"/>
          <w:szCs w:val="24"/>
        </w:rPr>
        <w:t>本项目服务团队及负责人，如更换负责人须经招选人同意。</w:t>
      </w:r>
    </w:p>
    <w:p>
      <w:pPr>
        <w:pStyle w:val="27"/>
        <w:numPr>
          <w:ilvl w:val="0"/>
          <w:numId w:val="27"/>
        </w:numPr>
        <w:tabs>
          <w:tab w:val="left" w:pos="0"/>
        </w:tabs>
        <w:spacing w:line="440" w:lineRule="exact"/>
        <w:ind w:left="0" w:firstLine="480"/>
        <w:outlineLvl w:val="3"/>
        <w:rPr>
          <w:rFonts w:ascii="Times New Roman" w:hAnsi="Times New Roman" w:cs="仿宋"/>
          <w:sz w:val="24"/>
          <w:szCs w:val="24"/>
        </w:rPr>
      </w:pPr>
      <w:r>
        <w:rPr>
          <w:rFonts w:hint="eastAsia" w:ascii="Times New Roman" w:hAnsi="Times New Roman" w:cs="仿宋"/>
          <w:sz w:val="24"/>
          <w:szCs w:val="24"/>
        </w:rPr>
        <w:t>本项目服务方案和时间进度表。</w:t>
      </w:r>
    </w:p>
    <w:p>
      <w:pPr>
        <w:widowControl/>
        <w:spacing w:line="440" w:lineRule="exact"/>
        <w:ind w:firstLine="480" w:firstLineChars="200"/>
        <w:jc w:val="left"/>
        <w:rPr>
          <w:rFonts w:ascii="宋体" w:hAnsi="宋体"/>
          <w:sz w:val="24"/>
          <w:szCs w:val="24"/>
        </w:rPr>
      </w:pPr>
      <w:r>
        <w:rPr>
          <w:rFonts w:hint="eastAsia" w:ascii="Times New Roman" w:hAnsi="Times New Roman" w:cs="仿宋"/>
          <w:sz w:val="24"/>
          <w:szCs w:val="24"/>
        </w:rPr>
        <w:t>服务期间，中选人应派员跟进本项目，根据本项目的要求，制定适合的策略，提出执行建议、跟踪和控制执行效果等（不限于以上服务内容）。</w:t>
      </w:r>
      <w:bookmarkEnd w:id="157"/>
      <w:bookmarkEnd w:id="158"/>
      <w:bookmarkEnd w:id="159"/>
      <w:bookmarkEnd w:id="160"/>
      <w:bookmarkEnd w:id="161"/>
    </w:p>
    <w:bookmarkEnd w:id="76"/>
    <w:bookmarkEnd w:id="140"/>
    <w:bookmarkEnd w:id="141"/>
    <w:bookmarkEnd w:id="142"/>
    <w:p>
      <w:pPr>
        <w:widowControl/>
        <w:ind w:firstLine="560"/>
        <w:jc w:val="left"/>
        <w:rPr>
          <w:b/>
          <w:bCs/>
          <w:kern w:val="44"/>
          <w:sz w:val="44"/>
          <w:szCs w:val="44"/>
        </w:rPr>
      </w:pPr>
      <w:r>
        <w:br w:type="page"/>
      </w:r>
    </w:p>
    <w:p>
      <w:pPr>
        <w:pStyle w:val="2"/>
      </w:pPr>
      <w:bookmarkStart w:id="162" w:name="_Toc24378775"/>
      <w:r>
        <w:rPr>
          <w:rFonts w:hint="eastAsia"/>
        </w:rPr>
        <w:t>第五部分 合同书格式</w:t>
      </w:r>
      <w:bookmarkEnd w:id="162"/>
    </w:p>
    <w:p>
      <w:pPr>
        <w:widowControl/>
        <w:jc w:val="center"/>
        <w:rPr>
          <w:rFonts w:ascii="仿宋" w:hAnsi="仿宋" w:eastAsia="仿宋"/>
          <w:b/>
          <w:color w:val="auto"/>
          <w:spacing w:val="20"/>
          <w:sz w:val="52"/>
        </w:rPr>
      </w:pPr>
      <w:r>
        <w:rPr>
          <w:rFonts w:hint="eastAsia" w:ascii="仿宋" w:hAnsi="仿宋" w:eastAsia="仿宋"/>
          <w:b/>
          <w:color w:val="auto"/>
          <w:spacing w:val="20"/>
          <w:sz w:val="52"/>
        </w:rPr>
        <w:t>花城汇商业区LED屏2023年度维修保养服务采购项目合同书</w:t>
      </w:r>
    </w:p>
    <w:p>
      <w:pPr>
        <w:jc w:val="center"/>
        <w:rPr>
          <w:rFonts w:ascii="仿宋" w:hAnsi="仿宋" w:eastAsia="仿宋"/>
          <w:b/>
          <w:spacing w:val="20"/>
          <w:sz w:val="52"/>
        </w:rPr>
      </w:pPr>
      <w:r>
        <w:rPr>
          <w:rFonts w:hint="eastAsia" w:ascii="仿宋" w:hAnsi="仿宋" w:eastAsia="仿宋"/>
          <w:b/>
          <w:spacing w:val="20"/>
          <w:sz w:val="52"/>
        </w:rPr>
        <w:t>（范本）</w:t>
      </w:r>
    </w:p>
    <w:p>
      <w:pPr>
        <w:ind w:right="560" w:firstLine="5320" w:firstLineChars="1900"/>
        <w:rPr>
          <w:rFonts w:ascii="仿宋" w:hAnsi="仿宋" w:eastAsia="仿宋" w:cs="宋体"/>
          <w:kern w:val="0"/>
          <w:sz w:val="28"/>
          <w:szCs w:val="28"/>
        </w:rPr>
      </w:pPr>
      <w:r>
        <w:rPr>
          <w:rFonts w:hint="eastAsia" w:ascii="仿宋" w:hAnsi="仿宋" w:eastAsia="仿宋"/>
          <w:sz w:val="28"/>
          <w:szCs w:val="28"/>
        </w:rPr>
        <w:t>编号：</w:t>
      </w:r>
    </w:p>
    <w:p>
      <w:pPr>
        <w:ind w:firstLine="560"/>
        <w:jc w:val="left"/>
        <w:rPr>
          <w:rFonts w:ascii="仿宋" w:hAnsi="仿宋" w:eastAsia="仿宋"/>
          <w:sz w:val="28"/>
        </w:rPr>
      </w:pPr>
    </w:p>
    <w:p>
      <w:pPr>
        <w:ind w:firstLine="560"/>
        <w:rPr>
          <w:rFonts w:ascii="仿宋" w:hAnsi="仿宋" w:eastAsia="仿宋"/>
          <w:sz w:val="28"/>
        </w:rPr>
      </w:pPr>
    </w:p>
    <w:p>
      <w:pPr>
        <w:ind w:firstLine="560"/>
        <w:rPr>
          <w:rFonts w:ascii="仿宋" w:hAnsi="仿宋" w:eastAsia="仿宋"/>
          <w:sz w:val="28"/>
        </w:rPr>
      </w:pPr>
    </w:p>
    <w:p>
      <w:pPr>
        <w:ind w:firstLine="560"/>
        <w:rPr>
          <w:rFonts w:ascii="仿宋" w:hAnsi="仿宋" w:eastAsia="仿宋"/>
          <w:sz w:val="28"/>
        </w:rPr>
      </w:pPr>
    </w:p>
    <w:p>
      <w:pPr>
        <w:ind w:firstLine="560"/>
        <w:rPr>
          <w:rFonts w:ascii="仿宋" w:hAnsi="仿宋" w:eastAsia="仿宋"/>
          <w:sz w:val="28"/>
        </w:rPr>
      </w:pPr>
    </w:p>
    <w:p>
      <w:pPr>
        <w:ind w:firstLine="560"/>
        <w:rPr>
          <w:rFonts w:ascii="仿宋" w:hAnsi="仿宋" w:eastAsia="仿宋"/>
          <w:sz w:val="28"/>
        </w:rPr>
      </w:pPr>
    </w:p>
    <w:p>
      <w:pPr>
        <w:ind w:firstLine="560"/>
        <w:rPr>
          <w:rFonts w:ascii="仿宋" w:hAnsi="仿宋" w:eastAsia="仿宋"/>
          <w:sz w:val="28"/>
        </w:rPr>
      </w:pPr>
    </w:p>
    <w:p>
      <w:pPr>
        <w:ind w:firstLine="560"/>
        <w:rPr>
          <w:rFonts w:ascii="仿宋" w:hAnsi="仿宋" w:eastAsia="仿宋"/>
          <w:sz w:val="28"/>
        </w:rPr>
      </w:pPr>
    </w:p>
    <w:p>
      <w:pPr>
        <w:ind w:firstLine="640"/>
        <w:rPr>
          <w:rFonts w:ascii="仿宋" w:hAnsi="仿宋" w:eastAsia="仿宋"/>
          <w:sz w:val="30"/>
          <w:szCs w:val="30"/>
          <w:u w:val="single"/>
        </w:rPr>
      </w:pPr>
      <w:r>
        <w:rPr>
          <w:rFonts w:hint="eastAsia" w:ascii="仿宋" w:hAnsi="仿宋" w:eastAsia="仿宋"/>
          <w:bCs/>
          <w:sz w:val="32"/>
          <w:szCs w:val="32"/>
        </w:rPr>
        <w:t>甲方：</w:t>
      </w:r>
      <w:r>
        <w:rPr>
          <w:rFonts w:hint="eastAsia" w:ascii="仿宋" w:hAnsi="仿宋" w:eastAsia="仿宋"/>
          <w:sz w:val="30"/>
          <w:szCs w:val="30"/>
          <w:u w:val="single"/>
        </w:rPr>
        <w:t>广州市城投资产经营管理有限公司珠江新城分公司</w:t>
      </w:r>
    </w:p>
    <w:p>
      <w:pPr>
        <w:ind w:firstLine="640"/>
        <w:rPr>
          <w:rFonts w:ascii="仿宋" w:hAnsi="仿宋" w:eastAsia="仿宋"/>
          <w:sz w:val="32"/>
          <w:szCs w:val="32"/>
          <w:u w:val="single"/>
        </w:rPr>
      </w:pPr>
      <w:r>
        <w:rPr>
          <w:rFonts w:hint="eastAsia" w:ascii="仿宋" w:hAnsi="仿宋" w:eastAsia="仿宋"/>
          <w:bCs/>
          <w:sz w:val="32"/>
          <w:szCs w:val="32"/>
        </w:rPr>
        <w:t>乙方：</w:t>
      </w:r>
    </w:p>
    <w:p>
      <w:pPr>
        <w:ind w:firstLine="1078" w:firstLineChars="337"/>
        <w:rPr>
          <w:rFonts w:ascii="仿宋" w:hAnsi="仿宋" w:eastAsia="仿宋"/>
          <w:sz w:val="32"/>
          <w:szCs w:val="32"/>
        </w:rPr>
      </w:pPr>
    </w:p>
    <w:p>
      <w:pPr>
        <w:ind w:firstLine="640"/>
        <w:jc w:val="center"/>
        <w:rPr>
          <w:rFonts w:ascii="仿宋" w:hAnsi="仿宋" w:eastAsia="仿宋"/>
          <w:spacing w:val="20"/>
          <w:sz w:val="32"/>
          <w:szCs w:val="32"/>
        </w:rPr>
      </w:pPr>
      <w:r>
        <w:rPr>
          <w:rFonts w:hint="eastAsia" w:ascii="仿宋" w:hAnsi="仿宋" w:eastAsia="仿宋"/>
          <w:bCs/>
          <w:sz w:val="32"/>
          <w:szCs w:val="32"/>
        </w:rPr>
        <w:t>签订日期：    年   月   日</w:t>
      </w:r>
    </w:p>
    <w:p>
      <w:pPr>
        <w:ind w:firstLine="963"/>
        <w:rPr>
          <w:rFonts w:ascii="宋体" w:hAnsi="宋体"/>
          <w:b/>
          <w:spacing w:val="20"/>
          <w:sz w:val="44"/>
        </w:rPr>
      </w:pPr>
    </w:p>
    <w:p>
      <w:pPr>
        <w:tabs>
          <w:tab w:val="left" w:pos="5145"/>
        </w:tabs>
        <w:adjustRightInd w:val="0"/>
        <w:spacing w:line="300" w:lineRule="auto"/>
        <w:ind w:firstLine="723" w:firstLineChars="200"/>
        <w:jc w:val="left"/>
        <w:outlineLvl w:val="0"/>
        <w:rPr>
          <w:rFonts w:ascii="宋体" w:hAnsi="宋体" w:cs="宋体"/>
          <w:b/>
          <w:sz w:val="28"/>
          <w:szCs w:val="28"/>
        </w:rPr>
      </w:pPr>
      <w:r>
        <w:rPr>
          <w:rFonts w:ascii="宋体" w:hAnsi="宋体" w:cs="宋体"/>
          <w:b/>
          <w:sz w:val="36"/>
          <w:szCs w:val="36"/>
        </w:rPr>
        <w:br w:type="page"/>
      </w:r>
      <w:bookmarkStart w:id="163" w:name="_Toc444174883"/>
    </w:p>
    <w:p>
      <w:pPr>
        <w:tabs>
          <w:tab w:val="left" w:pos="5145"/>
        </w:tabs>
        <w:adjustRightInd w:val="0"/>
        <w:spacing w:line="580" w:lineRule="exact"/>
        <w:ind w:firstLine="560" w:firstLineChars="200"/>
        <w:jc w:val="left"/>
        <w:rPr>
          <w:rFonts w:ascii="仿宋" w:hAnsi="仿宋" w:eastAsia="仿宋"/>
          <w:sz w:val="28"/>
          <w:szCs w:val="28"/>
        </w:rPr>
      </w:pPr>
      <w:r>
        <w:rPr>
          <w:rFonts w:hint="eastAsia" w:ascii="仿宋" w:hAnsi="仿宋" w:eastAsia="仿宋"/>
          <w:sz w:val="28"/>
          <w:szCs w:val="28"/>
        </w:rPr>
        <w:t>一、委托方（甲方）：</w:t>
      </w:r>
      <w:r>
        <w:rPr>
          <w:rFonts w:hint="eastAsia" w:ascii="仿宋" w:hAnsi="仿宋" w:eastAsia="仿宋"/>
          <w:sz w:val="28"/>
          <w:szCs w:val="28"/>
          <w:u w:val="single"/>
        </w:rPr>
        <w:t>广州市城投资产经营管理有限公司</w:t>
      </w:r>
      <w:bookmarkEnd w:id="163"/>
      <w:r>
        <w:rPr>
          <w:rFonts w:hint="eastAsia" w:ascii="仿宋" w:hAnsi="仿宋" w:eastAsia="仿宋"/>
          <w:sz w:val="30"/>
          <w:szCs w:val="30"/>
          <w:u w:val="single"/>
        </w:rPr>
        <w:t>珠江新城分公司</w:t>
      </w:r>
    </w:p>
    <w:p>
      <w:pPr>
        <w:spacing w:line="580" w:lineRule="exact"/>
        <w:ind w:firstLine="560" w:firstLineChars="200"/>
        <w:jc w:val="left"/>
        <w:rPr>
          <w:rFonts w:ascii="仿宋" w:hAnsi="仿宋" w:eastAsia="仿宋"/>
          <w:sz w:val="28"/>
          <w:szCs w:val="28"/>
          <w:u w:val="single"/>
        </w:rPr>
      </w:pPr>
      <w:r>
        <w:rPr>
          <w:rFonts w:hint="eastAsia" w:ascii="仿宋" w:hAnsi="仿宋" w:eastAsia="仿宋"/>
          <w:sz w:val="28"/>
          <w:szCs w:val="28"/>
        </w:rPr>
        <w:t xml:space="preserve">通讯地址： </w:t>
      </w:r>
    </w:p>
    <w:p>
      <w:pPr>
        <w:tabs>
          <w:tab w:val="left" w:pos="5145"/>
        </w:tabs>
        <w:spacing w:line="580" w:lineRule="exact"/>
        <w:ind w:firstLine="560" w:firstLineChars="200"/>
        <w:jc w:val="left"/>
        <w:rPr>
          <w:rFonts w:ascii="宋体" w:hAnsi="宋体"/>
          <w:sz w:val="28"/>
          <w:szCs w:val="28"/>
          <w:u w:val="single"/>
        </w:rPr>
      </w:pPr>
      <w:r>
        <w:rPr>
          <w:rFonts w:hint="eastAsia" w:ascii="仿宋" w:hAnsi="仿宋" w:eastAsia="仿宋"/>
          <w:sz w:val="28"/>
          <w:szCs w:val="28"/>
        </w:rPr>
        <w:t xml:space="preserve">电    话：               传    真： </w:t>
      </w:r>
    </w:p>
    <w:p>
      <w:pPr>
        <w:tabs>
          <w:tab w:val="left" w:pos="5145"/>
        </w:tabs>
        <w:spacing w:line="580" w:lineRule="exact"/>
        <w:ind w:firstLine="560" w:firstLineChars="200"/>
        <w:jc w:val="left"/>
        <w:rPr>
          <w:rFonts w:ascii="宋体" w:hAnsi="宋体"/>
          <w:sz w:val="28"/>
          <w:szCs w:val="28"/>
        </w:rPr>
      </w:pPr>
    </w:p>
    <w:p>
      <w:pPr>
        <w:tabs>
          <w:tab w:val="left" w:pos="5145"/>
        </w:tabs>
        <w:spacing w:line="580" w:lineRule="exact"/>
        <w:ind w:firstLine="560" w:firstLineChars="200"/>
        <w:jc w:val="left"/>
        <w:rPr>
          <w:rFonts w:ascii="仿宋" w:hAnsi="仿宋" w:eastAsia="仿宋"/>
          <w:sz w:val="28"/>
          <w:szCs w:val="28"/>
          <w:u w:val="single"/>
        </w:rPr>
      </w:pPr>
      <w:bookmarkStart w:id="164" w:name="_Toc444174884"/>
      <w:r>
        <w:rPr>
          <w:rFonts w:hint="eastAsia" w:ascii="仿宋" w:hAnsi="仿宋" w:eastAsia="仿宋"/>
          <w:sz w:val="28"/>
          <w:szCs w:val="28"/>
        </w:rPr>
        <w:t>二、受托方（乙方）：</w:t>
      </w:r>
      <w:bookmarkEnd w:id="164"/>
    </w:p>
    <w:p>
      <w:pPr>
        <w:spacing w:line="580" w:lineRule="exact"/>
        <w:ind w:firstLine="560" w:firstLineChars="200"/>
        <w:jc w:val="left"/>
        <w:rPr>
          <w:rFonts w:ascii="仿宋" w:hAnsi="仿宋" w:eastAsia="仿宋"/>
          <w:sz w:val="28"/>
          <w:szCs w:val="28"/>
          <w:u w:val="single"/>
        </w:rPr>
      </w:pPr>
      <w:r>
        <w:rPr>
          <w:rFonts w:hint="eastAsia" w:ascii="仿宋" w:hAnsi="仿宋" w:eastAsia="仿宋"/>
          <w:sz w:val="28"/>
          <w:szCs w:val="28"/>
        </w:rPr>
        <w:t>通讯地址：</w:t>
      </w:r>
    </w:p>
    <w:p>
      <w:pPr>
        <w:tabs>
          <w:tab w:val="left" w:pos="5145"/>
        </w:tabs>
        <w:spacing w:line="580" w:lineRule="exact"/>
        <w:ind w:firstLine="560" w:firstLineChars="200"/>
        <w:jc w:val="left"/>
        <w:rPr>
          <w:rFonts w:ascii="仿宋" w:hAnsi="仿宋" w:eastAsia="仿宋"/>
          <w:sz w:val="28"/>
          <w:szCs w:val="28"/>
          <w:u w:val="single"/>
        </w:rPr>
      </w:pPr>
      <w:r>
        <w:rPr>
          <w:rFonts w:hint="eastAsia" w:ascii="仿宋" w:hAnsi="仿宋" w:eastAsia="仿宋"/>
          <w:sz w:val="28"/>
          <w:szCs w:val="28"/>
        </w:rPr>
        <w:t>电    话：               传    真：</w:t>
      </w:r>
    </w:p>
    <w:p>
      <w:pPr>
        <w:tabs>
          <w:tab w:val="left" w:pos="5145"/>
        </w:tabs>
        <w:spacing w:line="580" w:lineRule="exact"/>
        <w:ind w:firstLine="560" w:firstLineChars="200"/>
        <w:jc w:val="left"/>
        <w:rPr>
          <w:rFonts w:ascii="仿宋" w:hAnsi="仿宋" w:eastAsia="仿宋"/>
          <w:sz w:val="28"/>
          <w:szCs w:val="28"/>
          <w:u w:val="single"/>
        </w:rPr>
      </w:pPr>
      <w:r>
        <w:rPr>
          <w:rFonts w:hint="eastAsia" w:ascii="仿宋" w:hAnsi="仿宋" w:eastAsia="仿宋"/>
          <w:sz w:val="28"/>
          <w:szCs w:val="28"/>
        </w:rPr>
        <w:t>开户银行：</w:t>
      </w:r>
    </w:p>
    <w:p>
      <w:pPr>
        <w:tabs>
          <w:tab w:val="left" w:pos="5145"/>
        </w:tabs>
        <w:spacing w:line="580" w:lineRule="exact"/>
        <w:ind w:firstLine="560" w:firstLineChars="200"/>
        <w:jc w:val="left"/>
        <w:rPr>
          <w:rFonts w:ascii="仿宋" w:hAnsi="仿宋" w:eastAsia="仿宋"/>
          <w:sz w:val="28"/>
          <w:szCs w:val="28"/>
          <w:u w:val="single"/>
        </w:rPr>
      </w:pPr>
      <w:r>
        <w:rPr>
          <w:rFonts w:hint="eastAsia" w:ascii="仿宋" w:hAnsi="仿宋" w:eastAsia="仿宋"/>
          <w:sz w:val="28"/>
          <w:szCs w:val="28"/>
        </w:rPr>
        <w:t>开户账号：</w:t>
      </w:r>
    </w:p>
    <w:p>
      <w:pPr>
        <w:tabs>
          <w:tab w:val="left" w:pos="5145"/>
        </w:tabs>
        <w:spacing w:line="580" w:lineRule="exact"/>
        <w:ind w:firstLine="560" w:firstLineChars="200"/>
        <w:jc w:val="left"/>
        <w:rPr>
          <w:rFonts w:ascii="仿宋" w:hAnsi="仿宋" w:eastAsia="仿宋"/>
          <w:sz w:val="28"/>
          <w:szCs w:val="28"/>
          <w:u w:val="single"/>
        </w:rPr>
      </w:pPr>
      <w:r>
        <w:rPr>
          <w:rFonts w:hint="eastAsia" w:ascii="仿宋" w:hAnsi="仿宋" w:eastAsia="仿宋"/>
          <w:sz w:val="28"/>
          <w:szCs w:val="28"/>
        </w:rPr>
        <w:t>甲乙双方经过平等协商，在真实、充分地表达各自意愿的基础上，根据《中华人民共和国</w:t>
      </w:r>
      <w:r>
        <w:rPr>
          <w:rFonts w:hint="eastAsia" w:ascii="仿宋" w:hAnsi="仿宋" w:eastAsia="仿宋"/>
          <w:sz w:val="28"/>
          <w:szCs w:val="28"/>
          <w:lang w:val="en-US" w:eastAsia="zh-CN"/>
        </w:rPr>
        <w:t>民</w:t>
      </w:r>
      <w:r>
        <w:rPr>
          <w:rFonts w:hint="eastAsia" w:ascii="仿宋" w:hAnsi="仿宋" w:eastAsia="仿宋"/>
          <w:sz w:val="28"/>
          <w:szCs w:val="28"/>
        </w:rPr>
        <w:t>法</w:t>
      </w:r>
      <w:r>
        <w:rPr>
          <w:rFonts w:hint="eastAsia" w:ascii="仿宋" w:hAnsi="仿宋" w:eastAsia="仿宋"/>
          <w:sz w:val="28"/>
          <w:szCs w:val="28"/>
          <w:lang w:val="en-US" w:eastAsia="zh-CN"/>
        </w:rPr>
        <w:t>典</w:t>
      </w:r>
      <w:r>
        <w:rPr>
          <w:rFonts w:hint="eastAsia" w:ascii="仿宋" w:hAnsi="仿宋" w:eastAsia="仿宋"/>
          <w:sz w:val="28"/>
          <w:szCs w:val="28"/>
        </w:rPr>
        <w:t>》</w:t>
      </w:r>
      <w:r>
        <w:rPr>
          <w:rFonts w:hint="eastAsia" w:ascii="仿宋" w:hAnsi="仿宋" w:eastAsia="仿宋"/>
          <w:sz w:val="28"/>
          <w:szCs w:val="28"/>
          <w:lang w:val="en-US" w:eastAsia="zh-CN"/>
        </w:rPr>
        <w:t>等法律法规</w:t>
      </w:r>
      <w:r>
        <w:rPr>
          <w:rFonts w:hint="eastAsia" w:ascii="仿宋" w:hAnsi="仿宋" w:eastAsia="仿宋"/>
          <w:sz w:val="28"/>
          <w:szCs w:val="28"/>
        </w:rPr>
        <w:t>的规定，就</w:t>
      </w:r>
      <w:r>
        <w:rPr>
          <w:rFonts w:hint="eastAsia" w:ascii="仿宋" w:hAnsi="仿宋" w:eastAsia="仿宋" w:cs="仿宋_GB2312"/>
          <w:color w:val="auto"/>
          <w:kern w:val="0"/>
          <w:sz w:val="28"/>
          <w:szCs w:val="28"/>
          <w:u w:val="single"/>
        </w:rPr>
        <w:t>花城汇商业区LED屏2023年度维修保养服务采购项目</w:t>
      </w:r>
      <w:r>
        <w:rPr>
          <w:rFonts w:hint="eastAsia" w:ascii="仿宋" w:hAnsi="仿宋" w:eastAsia="仿宋"/>
          <w:color w:val="auto"/>
          <w:sz w:val="28"/>
          <w:szCs w:val="28"/>
        </w:rPr>
        <w:t>的实施事宜协商一</w:t>
      </w:r>
      <w:r>
        <w:rPr>
          <w:rFonts w:hint="eastAsia" w:ascii="仿宋" w:hAnsi="仿宋" w:eastAsia="仿宋"/>
          <w:sz w:val="28"/>
          <w:szCs w:val="28"/>
        </w:rPr>
        <w:t xml:space="preserve">致，达成如下协议，并由双方共同恪守。                         </w:t>
      </w:r>
    </w:p>
    <w:p>
      <w:pPr>
        <w:pStyle w:val="27"/>
        <w:numPr>
          <w:ilvl w:val="0"/>
          <w:numId w:val="28"/>
        </w:numPr>
        <w:spacing w:line="580" w:lineRule="exact"/>
        <w:ind w:left="0" w:firstLine="562"/>
        <w:jc w:val="left"/>
        <w:rPr>
          <w:rFonts w:ascii="仿宋" w:hAnsi="仿宋" w:eastAsia="仿宋"/>
          <w:b/>
          <w:sz w:val="28"/>
          <w:szCs w:val="28"/>
        </w:rPr>
      </w:pPr>
      <w:bookmarkStart w:id="165" w:name="_Toc444174885"/>
      <w:r>
        <w:rPr>
          <w:rFonts w:hint="eastAsia" w:ascii="仿宋" w:hAnsi="仿宋" w:eastAsia="仿宋"/>
          <w:b/>
          <w:sz w:val="28"/>
          <w:szCs w:val="28"/>
        </w:rPr>
        <w:t>项目名称</w:t>
      </w:r>
      <w:bookmarkEnd w:id="165"/>
      <w:bookmarkStart w:id="166" w:name="_Toc444174886"/>
    </w:p>
    <w:p>
      <w:pPr>
        <w:spacing w:line="580" w:lineRule="exact"/>
        <w:ind w:firstLine="560" w:firstLineChars="200"/>
        <w:rPr>
          <w:rFonts w:ascii="仿宋" w:hAnsi="仿宋" w:eastAsia="仿宋"/>
          <w:color w:val="auto"/>
          <w:sz w:val="28"/>
          <w:szCs w:val="28"/>
        </w:rPr>
      </w:pPr>
      <w:r>
        <w:rPr>
          <w:rFonts w:hint="eastAsia" w:ascii="仿宋" w:hAnsi="仿宋" w:eastAsia="仿宋" w:cs="仿宋_GB2312"/>
          <w:color w:val="auto"/>
          <w:kern w:val="0"/>
          <w:sz w:val="28"/>
          <w:szCs w:val="28"/>
        </w:rPr>
        <w:t>花城汇商业区LED屏202</w:t>
      </w:r>
      <w:r>
        <w:rPr>
          <w:rFonts w:hint="eastAsia" w:ascii="仿宋" w:hAnsi="仿宋" w:eastAsia="仿宋" w:cs="仿宋_GB2312"/>
          <w:color w:val="auto"/>
          <w:kern w:val="0"/>
          <w:sz w:val="28"/>
          <w:szCs w:val="28"/>
          <w:lang w:val="en-US" w:eastAsia="zh-CN"/>
        </w:rPr>
        <w:t>3</w:t>
      </w:r>
      <w:r>
        <w:rPr>
          <w:rFonts w:hint="eastAsia" w:ascii="仿宋" w:hAnsi="仿宋" w:eastAsia="仿宋" w:cs="仿宋_GB2312"/>
          <w:color w:val="auto"/>
          <w:kern w:val="0"/>
          <w:sz w:val="28"/>
          <w:szCs w:val="28"/>
        </w:rPr>
        <w:t>年度维修保养服务采购项目</w:t>
      </w:r>
    </w:p>
    <w:p>
      <w:pPr>
        <w:pStyle w:val="27"/>
        <w:numPr>
          <w:ilvl w:val="0"/>
          <w:numId w:val="28"/>
        </w:numPr>
        <w:spacing w:line="580" w:lineRule="exact"/>
        <w:ind w:left="0" w:firstLine="562"/>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项目</w:t>
      </w:r>
      <w:bookmarkEnd w:id="166"/>
      <w:bookmarkStart w:id="167" w:name="_Toc444174887"/>
      <w:r>
        <w:rPr>
          <w:rFonts w:hint="eastAsia" w:ascii="仿宋" w:hAnsi="仿宋" w:eastAsia="仿宋"/>
          <w:b/>
          <w:color w:val="000000" w:themeColor="text1"/>
          <w:sz w:val="28"/>
          <w:szCs w:val="28"/>
          <w14:textFill>
            <w14:solidFill>
              <w14:schemeClr w14:val="tx1"/>
            </w14:solidFill>
          </w14:textFill>
        </w:rPr>
        <w:t>概况</w:t>
      </w:r>
    </w:p>
    <w:p>
      <w:pPr>
        <w:spacing w:line="580" w:lineRule="exact"/>
        <w:ind w:firstLine="560" w:firstLineChars="200"/>
        <w:jc w:val="left"/>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花城汇商业区9块全彩户外LED显示屏总显示面积</w:t>
      </w:r>
      <w:r>
        <w:rPr>
          <w:rFonts w:hint="eastAsia" w:ascii="仿宋" w:hAnsi="仿宋" w:eastAsia="仿宋" w:cs="仿宋_GB2312"/>
          <w:color w:val="000000" w:themeColor="text1"/>
          <w:kern w:val="0"/>
          <w:sz w:val="28"/>
          <w:szCs w:val="28"/>
          <w:highlight w:val="none"/>
          <w14:textFill>
            <w14:solidFill>
              <w14:schemeClr w14:val="tx1"/>
            </w14:solidFill>
          </w14:textFill>
        </w:rPr>
        <w:t>372m</w:t>
      </w:r>
      <w:r>
        <w:rPr>
          <w:rFonts w:hint="eastAsia" w:ascii="仿宋" w:hAnsi="仿宋" w:eastAsia="仿宋" w:cs="仿宋_GB2312"/>
          <w:color w:val="000000" w:themeColor="text1"/>
          <w:kern w:val="0"/>
          <w:sz w:val="28"/>
          <w:szCs w:val="28"/>
          <w:highlight w:val="none"/>
          <w:vertAlign w:val="superscript"/>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，分别为：</w:t>
      </w:r>
    </w:p>
    <w:p>
      <w:pPr>
        <w:pStyle w:val="27"/>
        <w:numPr>
          <w:ilvl w:val="0"/>
          <w:numId w:val="29"/>
        </w:numPr>
        <w:spacing w:line="580" w:lineRule="exact"/>
        <w:ind w:firstLineChars="0"/>
        <w:jc w:val="left"/>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中区小广场下沉口P10全彩户外LED屏，显示面积约59m</w:t>
      </w:r>
      <w:r>
        <w:rPr>
          <w:rFonts w:hint="eastAsia" w:ascii="仿宋" w:hAnsi="仿宋" w:eastAsia="仿宋" w:cs="仿宋_GB2312"/>
          <w:color w:val="000000" w:themeColor="text1"/>
          <w:kern w:val="0"/>
          <w:sz w:val="28"/>
          <w:szCs w:val="28"/>
          <w:vertAlign w:val="superscript"/>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w:t>
      </w:r>
    </w:p>
    <w:p>
      <w:pPr>
        <w:pStyle w:val="27"/>
        <w:numPr>
          <w:ilvl w:val="0"/>
          <w:numId w:val="29"/>
        </w:numPr>
        <w:spacing w:line="580" w:lineRule="exact"/>
        <w:ind w:firstLineChars="0"/>
        <w:jc w:val="left"/>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APM妇儿中心站A入口P10全彩户外LED屏，显示面积约44m</w:t>
      </w:r>
      <w:r>
        <w:rPr>
          <w:rFonts w:hint="eastAsia" w:ascii="仿宋" w:hAnsi="仿宋" w:eastAsia="仿宋" w:cs="仿宋_GB2312"/>
          <w:color w:val="000000" w:themeColor="text1"/>
          <w:kern w:val="0"/>
          <w:sz w:val="28"/>
          <w:szCs w:val="28"/>
          <w:vertAlign w:val="superscript"/>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w:t>
      </w:r>
    </w:p>
    <w:p>
      <w:pPr>
        <w:pStyle w:val="27"/>
        <w:numPr>
          <w:ilvl w:val="0"/>
          <w:numId w:val="29"/>
        </w:numPr>
        <w:spacing w:line="580" w:lineRule="exact"/>
        <w:ind w:firstLineChars="0"/>
        <w:jc w:val="left"/>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APM妇儿中心站B入口P10全彩户外LED屏，显示面积约44m</w:t>
      </w:r>
      <w:r>
        <w:rPr>
          <w:rFonts w:hint="eastAsia" w:ascii="仿宋" w:hAnsi="仿宋" w:eastAsia="仿宋" w:cs="仿宋_GB2312"/>
          <w:color w:val="000000" w:themeColor="text1"/>
          <w:kern w:val="0"/>
          <w:sz w:val="28"/>
          <w:szCs w:val="28"/>
          <w:vertAlign w:val="superscript"/>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w:t>
      </w:r>
    </w:p>
    <w:p>
      <w:pPr>
        <w:pStyle w:val="27"/>
        <w:numPr>
          <w:ilvl w:val="0"/>
          <w:numId w:val="29"/>
        </w:numPr>
        <w:spacing w:line="580" w:lineRule="exact"/>
        <w:ind w:firstLineChars="0"/>
        <w:jc w:val="left"/>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花城汇A3入口P10全彩户外LED屏，显示面积约70m</w:t>
      </w:r>
      <w:r>
        <w:rPr>
          <w:rFonts w:hint="eastAsia" w:ascii="仿宋" w:hAnsi="仿宋" w:eastAsia="仿宋" w:cs="仿宋_GB2312"/>
          <w:color w:val="000000" w:themeColor="text1"/>
          <w:kern w:val="0"/>
          <w:sz w:val="28"/>
          <w:szCs w:val="28"/>
          <w:vertAlign w:val="superscript"/>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w:t>
      </w:r>
    </w:p>
    <w:p>
      <w:pPr>
        <w:pStyle w:val="27"/>
        <w:numPr>
          <w:ilvl w:val="0"/>
          <w:numId w:val="29"/>
        </w:numPr>
        <w:spacing w:line="580" w:lineRule="exact"/>
        <w:ind w:firstLineChars="0"/>
        <w:jc w:val="left"/>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花城汇北区东翼P10全彩户外LED屏，显示面积约40m</w:t>
      </w:r>
      <w:r>
        <w:rPr>
          <w:rFonts w:hint="eastAsia" w:ascii="仿宋" w:hAnsi="仿宋" w:eastAsia="仿宋" w:cs="仿宋_GB2312"/>
          <w:color w:val="000000" w:themeColor="text1"/>
          <w:kern w:val="0"/>
          <w:sz w:val="28"/>
          <w:szCs w:val="28"/>
          <w:vertAlign w:val="superscript"/>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w:t>
      </w:r>
    </w:p>
    <w:p>
      <w:pPr>
        <w:pStyle w:val="27"/>
        <w:numPr>
          <w:ilvl w:val="0"/>
          <w:numId w:val="29"/>
        </w:numPr>
        <w:spacing w:line="580" w:lineRule="exact"/>
        <w:ind w:firstLineChars="0"/>
        <w:jc w:val="left"/>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lang w:val="en-US" w:eastAsia="zh-CN"/>
          <w14:textFill>
            <w14:solidFill>
              <w14:schemeClr w14:val="tx1"/>
            </w14:solidFill>
          </w14:textFill>
        </w:rPr>
        <w:t>黄埔大道</w:t>
      </w:r>
      <w:r>
        <w:rPr>
          <w:rFonts w:hint="eastAsia" w:ascii="仿宋" w:hAnsi="仿宋" w:eastAsia="仿宋" w:cs="仿宋_GB2312"/>
          <w:color w:val="000000" w:themeColor="text1"/>
          <w:kern w:val="0"/>
          <w:sz w:val="28"/>
          <w:szCs w:val="28"/>
          <w14:textFill>
            <w14:solidFill>
              <w14:schemeClr w14:val="tx1"/>
            </w14:solidFill>
          </w14:textFill>
        </w:rPr>
        <w:t>A1口P10全彩户外LED屏，显示面积约37m</w:t>
      </w:r>
      <w:r>
        <w:rPr>
          <w:rFonts w:hint="eastAsia" w:ascii="仿宋" w:hAnsi="仿宋" w:eastAsia="仿宋" w:cs="仿宋_GB2312"/>
          <w:color w:val="000000" w:themeColor="text1"/>
          <w:kern w:val="0"/>
          <w:sz w:val="28"/>
          <w:szCs w:val="28"/>
          <w:vertAlign w:val="superscript"/>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w:t>
      </w:r>
    </w:p>
    <w:p>
      <w:pPr>
        <w:pStyle w:val="27"/>
        <w:numPr>
          <w:ilvl w:val="0"/>
          <w:numId w:val="29"/>
        </w:numPr>
        <w:spacing w:line="580" w:lineRule="exact"/>
        <w:ind w:firstLineChars="0"/>
        <w:jc w:val="left"/>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花城汇中区东侧天桥P8全彩户外LED屏，显示面积约40m</w:t>
      </w:r>
      <w:r>
        <w:rPr>
          <w:rFonts w:hint="eastAsia" w:ascii="仿宋" w:hAnsi="仿宋" w:eastAsia="仿宋" w:cs="仿宋_GB2312"/>
          <w:color w:val="000000" w:themeColor="text1"/>
          <w:kern w:val="0"/>
          <w:sz w:val="28"/>
          <w:szCs w:val="28"/>
          <w:vertAlign w:val="superscript"/>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w:t>
      </w:r>
    </w:p>
    <w:p>
      <w:pPr>
        <w:pStyle w:val="27"/>
        <w:numPr>
          <w:ilvl w:val="0"/>
          <w:numId w:val="29"/>
        </w:numPr>
        <w:spacing w:line="580" w:lineRule="exact"/>
        <w:ind w:firstLineChars="0"/>
        <w:jc w:val="left"/>
        <w:rPr>
          <w:rFonts w:ascii="仿宋" w:hAnsi="仿宋" w:eastAsia="仿宋" w:cs="仿宋_GB2312"/>
          <w:color w:val="000000" w:themeColor="text1"/>
          <w:kern w:val="0"/>
          <w:sz w:val="28"/>
          <w:szCs w:val="28"/>
          <w:highlight w:val="none"/>
          <w14:textFill>
            <w14:solidFill>
              <w14:schemeClr w14:val="tx1"/>
            </w14:solidFill>
          </w14:textFill>
        </w:rPr>
      </w:pPr>
      <w:r>
        <w:rPr>
          <w:rFonts w:hint="eastAsia" w:ascii="仿宋" w:hAnsi="仿宋" w:eastAsia="仿宋" w:cs="仿宋_GB2312"/>
          <w:color w:val="000000" w:themeColor="text1"/>
          <w:kern w:val="0"/>
          <w:sz w:val="28"/>
          <w:szCs w:val="28"/>
          <w:highlight w:val="none"/>
          <w14:textFill>
            <w14:solidFill>
              <w14:schemeClr w14:val="tx1"/>
            </w14:solidFill>
          </w14:textFill>
        </w:rPr>
        <w:t>花城汇中区西侧天桥P8全彩户外LED屏，显示面积约29m</w:t>
      </w:r>
      <w:r>
        <w:rPr>
          <w:rFonts w:hint="eastAsia" w:ascii="仿宋" w:hAnsi="仿宋" w:eastAsia="仿宋" w:cs="仿宋_GB2312"/>
          <w:color w:val="000000" w:themeColor="text1"/>
          <w:kern w:val="0"/>
          <w:sz w:val="28"/>
          <w:szCs w:val="28"/>
          <w:highlight w:val="none"/>
          <w:vertAlign w:val="superscript"/>
          <w14:textFill>
            <w14:solidFill>
              <w14:schemeClr w14:val="tx1"/>
            </w14:solidFill>
          </w14:textFill>
        </w:rPr>
        <w:t>2</w:t>
      </w:r>
      <w:r>
        <w:rPr>
          <w:rFonts w:hint="eastAsia" w:ascii="仿宋" w:hAnsi="仿宋" w:eastAsia="仿宋" w:cs="仿宋_GB2312"/>
          <w:color w:val="000000" w:themeColor="text1"/>
          <w:kern w:val="0"/>
          <w:sz w:val="28"/>
          <w:szCs w:val="28"/>
          <w:highlight w:val="none"/>
          <w14:textFill>
            <w14:solidFill>
              <w14:schemeClr w14:val="tx1"/>
            </w14:solidFill>
          </w14:textFill>
        </w:rPr>
        <w:t>。</w:t>
      </w:r>
    </w:p>
    <w:p>
      <w:pPr>
        <w:pStyle w:val="27"/>
        <w:numPr>
          <w:ilvl w:val="0"/>
          <w:numId w:val="29"/>
        </w:numPr>
        <w:spacing w:line="580" w:lineRule="exact"/>
        <w:ind w:firstLineChars="0"/>
        <w:jc w:val="left"/>
        <w:rPr>
          <w:rFonts w:ascii="仿宋" w:hAnsi="仿宋" w:eastAsia="仿宋" w:cs="仿宋_GB2312"/>
          <w:color w:val="000000" w:themeColor="text1"/>
          <w:kern w:val="0"/>
          <w:sz w:val="28"/>
          <w:szCs w:val="28"/>
          <w:highlight w:val="none"/>
          <w14:textFill>
            <w14:solidFill>
              <w14:schemeClr w14:val="tx1"/>
            </w14:solidFill>
          </w14:textFill>
        </w:rPr>
      </w:pPr>
      <w:r>
        <w:rPr>
          <w:rFonts w:hint="eastAsia" w:ascii="仿宋" w:hAnsi="仿宋" w:eastAsia="仿宋" w:cs="仿宋_GB2312"/>
          <w:color w:val="000000" w:themeColor="text1"/>
          <w:kern w:val="0"/>
          <w:sz w:val="28"/>
          <w:szCs w:val="28"/>
          <w:highlight w:val="none"/>
          <w14:textFill>
            <w14:solidFill>
              <w14:schemeClr w14:val="tx1"/>
            </w14:solidFill>
          </w14:textFill>
        </w:rPr>
        <w:t>海心沙1层看台消防通道P4全彩户外LED屏，显示面积约9m</w:t>
      </w:r>
      <w:r>
        <w:rPr>
          <w:rFonts w:hint="eastAsia" w:ascii="仿宋" w:hAnsi="仿宋" w:eastAsia="仿宋" w:cs="仿宋_GB2312"/>
          <w:color w:val="000000" w:themeColor="text1"/>
          <w:kern w:val="0"/>
          <w:sz w:val="28"/>
          <w:szCs w:val="28"/>
          <w:highlight w:val="none"/>
          <w:vertAlign w:val="superscript"/>
          <w14:textFill>
            <w14:solidFill>
              <w14:schemeClr w14:val="tx1"/>
            </w14:solidFill>
          </w14:textFill>
        </w:rPr>
        <w:t>2</w:t>
      </w:r>
      <w:r>
        <w:rPr>
          <w:rFonts w:hint="eastAsia" w:ascii="仿宋" w:hAnsi="仿宋" w:eastAsia="仿宋" w:cs="仿宋_GB2312"/>
          <w:color w:val="000000" w:themeColor="text1"/>
          <w:kern w:val="0"/>
          <w:sz w:val="28"/>
          <w:szCs w:val="28"/>
          <w:highlight w:val="none"/>
          <w14:textFill>
            <w14:solidFill>
              <w14:schemeClr w14:val="tx1"/>
            </w14:solidFill>
          </w14:textFill>
        </w:rPr>
        <w:t>。</w:t>
      </w:r>
    </w:p>
    <w:bookmarkEnd w:id="167"/>
    <w:p>
      <w:pPr>
        <w:pStyle w:val="27"/>
        <w:numPr>
          <w:ilvl w:val="0"/>
          <w:numId w:val="28"/>
        </w:numPr>
        <w:spacing w:line="580" w:lineRule="exact"/>
        <w:ind w:left="0" w:firstLine="562"/>
        <w:jc w:val="left"/>
        <w:rPr>
          <w:rFonts w:ascii="仿宋" w:hAnsi="仿宋" w:eastAsia="仿宋"/>
          <w:b/>
          <w:sz w:val="28"/>
          <w:szCs w:val="28"/>
        </w:rPr>
      </w:pPr>
      <w:r>
        <w:rPr>
          <w:rFonts w:hint="eastAsia" w:ascii="仿宋" w:hAnsi="仿宋" w:eastAsia="仿宋"/>
          <w:b/>
          <w:sz w:val="28"/>
          <w:szCs w:val="28"/>
        </w:rPr>
        <w:t>合同价款</w:t>
      </w:r>
    </w:p>
    <w:p>
      <w:pPr>
        <w:spacing w:line="580" w:lineRule="exact"/>
        <w:ind w:firstLine="560" w:firstLineChars="200"/>
        <w:rPr>
          <w:rFonts w:ascii="仿宋" w:hAnsi="仿宋" w:eastAsia="仿宋"/>
          <w:b/>
          <w:sz w:val="28"/>
          <w:szCs w:val="28"/>
        </w:rPr>
      </w:pPr>
      <w:r>
        <w:rPr>
          <w:rFonts w:hint="eastAsia" w:ascii="仿宋" w:hAnsi="仿宋" w:eastAsia="仿宋"/>
          <w:sz w:val="28"/>
          <w:szCs w:val="28"/>
        </w:rPr>
        <w:t>合同包干含税总价为</w:t>
      </w:r>
      <w:r>
        <w:rPr>
          <w:rFonts w:hint="eastAsia" w:ascii="仿宋" w:hAnsi="仿宋" w:eastAsia="仿宋"/>
          <w:sz w:val="28"/>
          <w:szCs w:val="28"/>
          <w:u w:val="single"/>
        </w:rPr>
        <w:t xml:space="preserve">     </w:t>
      </w:r>
      <w:r>
        <w:rPr>
          <w:rFonts w:hint="eastAsia" w:ascii="仿宋" w:hAnsi="仿宋" w:eastAsia="仿宋"/>
          <w:sz w:val="28"/>
          <w:szCs w:val="28"/>
        </w:rPr>
        <w:t>元（人民币大写</w:t>
      </w:r>
      <w:r>
        <w:rPr>
          <w:rFonts w:hint="eastAsia" w:ascii="仿宋" w:hAnsi="仿宋" w:eastAsia="仿宋"/>
          <w:sz w:val="28"/>
          <w:szCs w:val="28"/>
          <w:u w:val="single"/>
        </w:rPr>
        <w:t xml:space="preserve">     </w:t>
      </w:r>
      <w:r>
        <w:rPr>
          <w:rFonts w:hint="eastAsia" w:ascii="仿宋" w:hAnsi="仿宋" w:eastAsia="仿宋"/>
          <w:sz w:val="28"/>
          <w:szCs w:val="28"/>
        </w:rPr>
        <w:t>），其中不含税金额</w:t>
      </w:r>
      <w:r>
        <w:rPr>
          <w:rFonts w:hint="eastAsia" w:ascii="仿宋" w:hAnsi="仿宋" w:eastAsia="仿宋"/>
          <w:sz w:val="28"/>
          <w:szCs w:val="28"/>
          <w:u w:val="single"/>
        </w:rPr>
        <w:t xml:space="preserve">     </w:t>
      </w:r>
      <w:r>
        <w:rPr>
          <w:rFonts w:hint="eastAsia" w:ascii="仿宋" w:hAnsi="仿宋" w:eastAsia="仿宋"/>
          <w:sz w:val="28"/>
          <w:szCs w:val="28"/>
        </w:rPr>
        <w:t>元，税率</w:t>
      </w:r>
      <w:r>
        <w:rPr>
          <w:rFonts w:hint="eastAsia" w:ascii="仿宋" w:hAnsi="仿宋" w:eastAsia="仿宋"/>
          <w:sz w:val="28"/>
          <w:szCs w:val="28"/>
          <w:u w:val="single"/>
        </w:rPr>
        <w:t xml:space="preserve">      </w:t>
      </w:r>
      <w:r>
        <w:rPr>
          <w:rFonts w:hint="eastAsia" w:ascii="仿宋" w:hAnsi="仿宋" w:eastAsia="仿宋"/>
          <w:sz w:val="28"/>
          <w:szCs w:val="28"/>
        </w:rPr>
        <w:t>，增值税税额</w:t>
      </w:r>
      <w:r>
        <w:rPr>
          <w:rFonts w:hint="eastAsia" w:ascii="仿宋" w:hAnsi="仿宋" w:eastAsia="仿宋"/>
          <w:sz w:val="28"/>
          <w:szCs w:val="28"/>
          <w:u w:val="single"/>
        </w:rPr>
        <w:t xml:space="preserve">      </w:t>
      </w:r>
      <w:r>
        <w:rPr>
          <w:rFonts w:hint="eastAsia" w:ascii="仿宋" w:hAnsi="仿宋" w:eastAsia="仿宋"/>
          <w:sz w:val="28"/>
          <w:szCs w:val="28"/>
        </w:rPr>
        <w:t>元。该费用已包括材料、人工费、工具、机具、安装费、利润、管理费、规费、税费、竣工图等费用。不因施工期间人工、机械及材料价格的变化、施工条件的变化和政府造价管理部门等调整各项收费而调整，另有约定的除外。乙方已对现场状况作出了解及预计，乙方的报价已合理预计，根据施工现场范围及清单如有漏计或漏项的，视为乙方单方面作出的让利，费用不另行增加，总价费用应包括按现状完工达到合同约定目的的全部工作。</w:t>
      </w:r>
    </w:p>
    <w:p>
      <w:pPr>
        <w:pStyle w:val="27"/>
        <w:numPr>
          <w:ilvl w:val="0"/>
          <w:numId w:val="28"/>
        </w:numPr>
        <w:spacing w:line="580" w:lineRule="exact"/>
        <w:ind w:firstLineChars="0"/>
        <w:rPr>
          <w:rFonts w:ascii="仿宋" w:hAnsi="仿宋" w:eastAsia="仿宋"/>
          <w:b/>
          <w:sz w:val="28"/>
          <w:szCs w:val="28"/>
        </w:rPr>
      </w:pPr>
      <w:bookmarkStart w:id="168" w:name="_Toc444174889"/>
      <w:r>
        <w:rPr>
          <w:rFonts w:hint="eastAsia" w:ascii="仿宋" w:hAnsi="仿宋" w:eastAsia="仿宋"/>
          <w:b/>
          <w:sz w:val="28"/>
          <w:szCs w:val="28"/>
        </w:rPr>
        <w:t>服务期</w:t>
      </w:r>
      <w:bookmarkEnd w:id="168"/>
      <w:r>
        <w:rPr>
          <w:rFonts w:hint="eastAsia" w:ascii="仿宋" w:hAnsi="仿宋" w:eastAsia="仿宋"/>
          <w:b/>
          <w:sz w:val="28"/>
          <w:szCs w:val="28"/>
        </w:rPr>
        <w:t>及服务事项</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1.项目服务期</w:t>
      </w:r>
    </w:p>
    <w:p>
      <w:pPr>
        <w:pStyle w:val="28"/>
        <w:spacing w:line="58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本合同服务期为</w:t>
      </w:r>
      <w:r>
        <w:rPr>
          <w:rFonts w:hint="eastAsia" w:ascii="仿宋" w:hAnsi="仿宋" w:eastAsia="仿宋" w:cs="仿宋"/>
          <w:bCs/>
          <w:color w:val="auto"/>
          <w:sz w:val="28"/>
          <w:szCs w:val="28"/>
          <w:u w:val="single"/>
          <w:lang w:val="en-US" w:eastAsia="zh-CN"/>
        </w:rPr>
        <w:t xml:space="preserve"> 2023 </w:t>
      </w:r>
      <w:r>
        <w:rPr>
          <w:rFonts w:hint="eastAsia" w:ascii="仿宋" w:hAnsi="仿宋" w:eastAsia="仿宋" w:cs="仿宋"/>
          <w:bCs/>
          <w:color w:val="auto"/>
          <w:sz w:val="28"/>
          <w:szCs w:val="28"/>
        </w:rPr>
        <w:t>年</w:t>
      </w:r>
      <w:r>
        <w:rPr>
          <w:rFonts w:hint="eastAsia" w:ascii="仿宋" w:hAnsi="仿宋" w:eastAsia="仿宋" w:cs="仿宋"/>
          <w:bCs/>
          <w:color w:val="auto"/>
          <w:sz w:val="28"/>
          <w:szCs w:val="28"/>
          <w:u w:val="single"/>
          <w:lang w:val="en-US" w:eastAsia="zh-CN"/>
        </w:rPr>
        <w:t xml:space="preserve"> 1 </w:t>
      </w:r>
      <w:r>
        <w:rPr>
          <w:rFonts w:hint="eastAsia" w:ascii="仿宋" w:hAnsi="仿宋" w:eastAsia="仿宋" w:cs="仿宋"/>
          <w:bCs/>
          <w:color w:val="auto"/>
          <w:sz w:val="28"/>
          <w:szCs w:val="28"/>
        </w:rPr>
        <w:t>月</w:t>
      </w:r>
      <w:r>
        <w:rPr>
          <w:rFonts w:hint="eastAsia" w:ascii="仿宋" w:hAnsi="仿宋" w:eastAsia="仿宋" w:cs="仿宋"/>
          <w:bCs/>
          <w:color w:val="auto"/>
          <w:sz w:val="28"/>
          <w:szCs w:val="28"/>
          <w:u w:val="single"/>
          <w:lang w:val="en-US" w:eastAsia="zh-CN"/>
        </w:rPr>
        <w:t xml:space="preserve"> 1 </w:t>
      </w:r>
      <w:r>
        <w:rPr>
          <w:rFonts w:hint="eastAsia" w:ascii="仿宋" w:hAnsi="仿宋" w:eastAsia="仿宋" w:cs="仿宋"/>
          <w:bCs/>
          <w:color w:val="auto"/>
          <w:sz w:val="28"/>
          <w:szCs w:val="28"/>
        </w:rPr>
        <w:t>日至</w:t>
      </w:r>
      <w:r>
        <w:rPr>
          <w:rFonts w:hint="eastAsia" w:ascii="仿宋" w:hAnsi="仿宋" w:eastAsia="仿宋" w:cs="仿宋"/>
          <w:bCs/>
          <w:color w:val="auto"/>
          <w:sz w:val="28"/>
          <w:szCs w:val="28"/>
          <w:u w:val="single"/>
          <w:lang w:val="en-US" w:eastAsia="zh-CN"/>
        </w:rPr>
        <w:t xml:space="preserve"> 2023 </w:t>
      </w:r>
      <w:r>
        <w:rPr>
          <w:rFonts w:hint="eastAsia" w:ascii="仿宋" w:hAnsi="仿宋" w:eastAsia="仿宋" w:cs="仿宋"/>
          <w:bCs/>
          <w:color w:val="auto"/>
          <w:sz w:val="28"/>
          <w:szCs w:val="28"/>
        </w:rPr>
        <w:t>年</w:t>
      </w:r>
      <w:r>
        <w:rPr>
          <w:rFonts w:hint="eastAsia" w:ascii="仿宋" w:hAnsi="仿宋" w:eastAsia="仿宋" w:cs="仿宋"/>
          <w:bCs/>
          <w:color w:val="auto"/>
          <w:sz w:val="28"/>
          <w:szCs w:val="28"/>
          <w:u w:val="single"/>
          <w:lang w:val="en-US" w:eastAsia="zh-CN"/>
        </w:rPr>
        <w:t xml:space="preserve"> 12 </w:t>
      </w:r>
      <w:r>
        <w:rPr>
          <w:rFonts w:hint="eastAsia" w:ascii="仿宋" w:hAnsi="仿宋" w:eastAsia="仿宋" w:cs="仿宋"/>
          <w:bCs/>
          <w:color w:val="auto"/>
          <w:sz w:val="28"/>
          <w:szCs w:val="28"/>
        </w:rPr>
        <w:t>月</w:t>
      </w:r>
      <w:r>
        <w:rPr>
          <w:rFonts w:hint="eastAsia" w:ascii="仿宋" w:hAnsi="仿宋" w:eastAsia="仿宋" w:cs="仿宋"/>
          <w:bCs/>
          <w:color w:val="auto"/>
          <w:sz w:val="28"/>
          <w:szCs w:val="28"/>
          <w:u w:val="single"/>
          <w:lang w:val="en-US" w:eastAsia="zh-CN"/>
        </w:rPr>
        <w:t xml:space="preserve"> 31 </w:t>
      </w:r>
      <w:r>
        <w:rPr>
          <w:rFonts w:hint="eastAsia" w:ascii="仿宋" w:hAnsi="仿宋" w:eastAsia="仿宋" w:cs="仿宋"/>
          <w:bCs/>
          <w:color w:val="auto"/>
          <w:sz w:val="28"/>
          <w:szCs w:val="28"/>
        </w:rPr>
        <w:t>日，合同期限为</w:t>
      </w:r>
      <w:r>
        <w:rPr>
          <w:rFonts w:hint="eastAsia" w:ascii="仿宋" w:hAnsi="仿宋" w:eastAsia="仿宋" w:cs="仿宋"/>
          <w:bCs/>
          <w:color w:val="auto"/>
          <w:sz w:val="28"/>
          <w:szCs w:val="28"/>
          <w:u w:val="single"/>
          <w:lang w:val="en-US" w:eastAsia="zh-CN"/>
        </w:rPr>
        <w:t xml:space="preserve"> 壹 </w:t>
      </w:r>
      <w:bookmarkStart w:id="175" w:name="_GoBack"/>
      <w:bookmarkEnd w:id="175"/>
      <w:r>
        <w:rPr>
          <w:rFonts w:hint="eastAsia" w:ascii="仿宋" w:hAnsi="仿宋" w:eastAsia="仿宋" w:cs="仿宋"/>
          <w:bCs/>
          <w:color w:val="auto"/>
          <w:sz w:val="28"/>
          <w:szCs w:val="28"/>
        </w:rPr>
        <w:t>年。</w:t>
      </w:r>
    </w:p>
    <w:p>
      <w:pPr>
        <w:pStyle w:val="28"/>
        <w:spacing w:line="5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w:t>
      </w:r>
      <w:r>
        <w:rPr>
          <w:rFonts w:hint="eastAsia" w:ascii="仿宋" w:hAnsi="仿宋" w:eastAsia="仿宋" w:cs="仿宋"/>
          <w:color w:val="auto"/>
          <w:sz w:val="28"/>
          <w:szCs w:val="28"/>
        </w:rPr>
        <w:t>乙方</w:t>
      </w:r>
      <w:r>
        <w:rPr>
          <w:rFonts w:hint="eastAsia" w:ascii="仿宋" w:hAnsi="仿宋" w:eastAsia="仿宋" w:cs="仿宋"/>
          <w:bCs/>
          <w:color w:val="auto"/>
          <w:sz w:val="28"/>
          <w:szCs w:val="28"/>
        </w:rPr>
        <w:t>在项目服务期限内应为甲方就本项目提供如下服务内容（包括但不限于）</w:t>
      </w:r>
    </w:p>
    <w:p>
      <w:pPr>
        <w:pStyle w:val="28"/>
        <w:spacing w:line="58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（1）乙方为各LED屏提供维修保养和应急保障服务，对屏体、钢结构及外包边、播放及控制系统的软硬件、供电系统、线材等进行维修保养和应急保障。</w:t>
      </w:r>
    </w:p>
    <w:p>
      <w:pPr>
        <w:spacing w:line="58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（2）</w:t>
      </w:r>
      <w:r>
        <w:rPr>
          <w:rFonts w:ascii="仿宋" w:hAnsi="仿宋" w:eastAsia="仿宋" w:cs="仿宋"/>
          <w:bCs/>
          <w:kern w:val="0"/>
          <w:sz w:val="28"/>
          <w:szCs w:val="28"/>
        </w:rPr>
        <w:t>乙方投入项目人员不少于3人，</w:t>
      </w:r>
      <w:r>
        <w:rPr>
          <w:rFonts w:hint="eastAsia" w:ascii="仿宋" w:hAnsi="仿宋" w:eastAsia="仿宋" w:cs="仿宋"/>
          <w:bCs/>
          <w:kern w:val="0"/>
          <w:sz w:val="28"/>
          <w:szCs w:val="28"/>
        </w:rPr>
        <w:t>乙方需安排维修人员全年每天24小时待命，接甲方故障维修通知后，乙方的维修人员在 2小时内到达故障LED屏现场，</w:t>
      </w:r>
      <w:r>
        <w:rPr>
          <w:rFonts w:hint="eastAsia" w:ascii="仿宋" w:hAnsi="仿宋" w:eastAsia="仿宋" w:cs="仿宋"/>
          <w:b/>
          <w:bCs w:val="0"/>
          <w:kern w:val="0"/>
          <w:sz w:val="28"/>
          <w:szCs w:val="28"/>
        </w:rPr>
        <w:t>承诺故障最长修复时间为（  ）小时</w:t>
      </w:r>
      <w:r>
        <w:rPr>
          <w:rFonts w:hint="eastAsia" w:ascii="仿宋" w:hAnsi="仿宋" w:eastAsia="仿宋" w:cs="仿宋"/>
          <w:bCs/>
          <w:kern w:val="0"/>
          <w:sz w:val="28"/>
          <w:szCs w:val="28"/>
        </w:rPr>
        <w:t>。</w:t>
      </w:r>
    </w:p>
    <w:p>
      <w:pPr>
        <w:pStyle w:val="28"/>
        <w:spacing w:line="58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（3）乙方接到甲方应急保障通知后，乙方的技术保障人员需在规定时间内到达招选人指定的LED屏现场，并按照甲方要求对需保障的LED屏进行全面的检修，为LED屏正常运行提供全程保障。</w:t>
      </w:r>
    </w:p>
    <w:p>
      <w:pPr>
        <w:spacing w:line="58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（4）乙方需定期对各LED屏巡检，服务期内不少于1次对各LED屏钢结构除锈防腐，每季度不少于一次对屏内设备清洁除尘，发现外包边漏水及时补漏，发现消防设备故障及时更换。</w:t>
      </w:r>
    </w:p>
    <w:p>
      <w:pPr>
        <w:pStyle w:val="28"/>
        <w:spacing w:line="58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（5）除以上内容外，还应包括正常使用和运行的其他所需材料及维保等工作。</w:t>
      </w:r>
    </w:p>
    <w:p>
      <w:pPr>
        <w:pStyle w:val="27"/>
        <w:numPr>
          <w:ilvl w:val="0"/>
          <w:numId w:val="28"/>
        </w:numPr>
        <w:spacing w:line="580" w:lineRule="exact"/>
        <w:ind w:firstLineChars="0"/>
        <w:rPr>
          <w:rFonts w:ascii="仿宋" w:hAnsi="仿宋" w:eastAsia="仿宋"/>
          <w:b/>
          <w:sz w:val="28"/>
          <w:szCs w:val="28"/>
        </w:rPr>
      </w:pPr>
      <w:r>
        <w:rPr>
          <w:rFonts w:hint="eastAsia" w:ascii="仿宋" w:hAnsi="仿宋" w:eastAsia="仿宋"/>
          <w:b/>
          <w:sz w:val="28"/>
          <w:szCs w:val="28"/>
        </w:rPr>
        <w:t>项目验收</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1.本合同服务周期为12个月，每个季度验收一次，共分4次验收，具体验收时间如下：</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（1）第1季度验收：本合同签订生效后，在本合同服务期开始第4个月，由甲方对乙方第1季度的服务质量进行验收。</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（2）第2季度验收：本合同签订生效后，在本合同服务期开始第7个月，由甲方对乙方第2季度的服务质量进行验收。</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（3）第3季度验收：本合同签订生效后，在本合同服务期开始第10个月，由甲方对乙方第3季度的服务质量进行验收。</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（4）第4季度验收：本合同签订生效后，在本合同服务期结束后一个月内，由甲方对乙方第4季度的服务质量进行验收。</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2.每次验收由乙方向甲方提交书面验收申请，甲方对乙方的服务质量进行综合评估。如验收通过，甲方则按照本合同第六条款向乙方支付该次验收相应服务期的款项；如验收不通过，视为乙方违约，甲方有权拒绝向乙方支付该次验收相应服务期的款项，并单方面解除本合同。</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3.每次验收相应的服务期内出现以下情形，视为该次验收不通过。</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1）乙方逾期修复LED屏黑块、色条、亮块、黑屏等各类故障累计出现超过3次，视为验收不通过。（逾期修复是指超过乙方承诺的修复时间1个小时以上；如遇特殊情况或故障，乙方向甲方说明，经甲方同意延长修复时间，不视为逾期修复。）</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（2）乙方无法修复LED屏黑块、黑条、播控设备损坏等故障出现1次以上，视为验收不通过。（无法修复是指单次LED屏故障持续5个日历天仍无法修复，接到甲方书面告知后3个日历天内仍未完成修复）</w:t>
      </w:r>
    </w:p>
    <w:p>
      <w:pPr>
        <w:pStyle w:val="27"/>
        <w:numPr>
          <w:ilvl w:val="0"/>
          <w:numId w:val="30"/>
        </w:numPr>
        <w:spacing w:line="580" w:lineRule="exact"/>
        <w:ind w:firstLineChars="0"/>
        <w:rPr>
          <w:rFonts w:ascii="仿宋" w:hAnsi="仿宋" w:eastAsia="仿宋"/>
          <w:sz w:val="28"/>
          <w:szCs w:val="28"/>
        </w:rPr>
      </w:pPr>
      <w:r>
        <w:rPr>
          <w:rFonts w:hint="eastAsia" w:ascii="仿宋" w:hAnsi="仿宋" w:eastAsia="仿宋"/>
          <w:sz w:val="28"/>
          <w:szCs w:val="28"/>
        </w:rPr>
        <w:t>乙方不按甲方要求进行现场保障，视为验收不通过。</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（4）乙方未履职安全责任义务，在LED屏维修、保障、保养、巡检等作业时发生安全责任事故，视为验收不通过。</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（5）乙方在LED屏维修、保障、保养、巡检等作业时发生播放事故，擅自播放未经甲方许可的违法、低俗画面或视频，视为验收不通过。</w:t>
      </w:r>
    </w:p>
    <w:p>
      <w:pPr>
        <w:pStyle w:val="27"/>
        <w:numPr>
          <w:ilvl w:val="0"/>
          <w:numId w:val="28"/>
        </w:numPr>
        <w:spacing w:line="580" w:lineRule="exact"/>
        <w:ind w:firstLineChars="0"/>
        <w:rPr>
          <w:rFonts w:ascii="仿宋" w:hAnsi="仿宋" w:eastAsia="仿宋"/>
          <w:b/>
          <w:sz w:val="28"/>
          <w:szCs w:val="28"/>
        </w:rPr>
      </w:pPr>
      <w:bookmarkStart w:id="169" w:name="_Toc444174891"/>
      <w:r>
        <w:rPr>
          <w:rFonts w:hint="eastAsia" w:ascii="仿宋" w:hAnsi="仿宋" w:eastAsia="仿宋"/>
          <w:b/>
          <w:sz w:val="28"/>
          <w:szCs w:val="28"/>
        </w:rPr>
        <w:t>付款方式</w:t>
      </w:r>
      <w:bookmarkEnd w:id="169"/>
    </w:p>
    <w:p>
      <w:pPr>
        <w:pStyle w:val="27"/>
        <w:numPr>
          <w:ilvl w:val="0"/>
          <w:numId w:val="31"/>
        </w:numPr>
        <w:spacing w:line="580" w:lineRule="exact"/>
        <w:ind w:firstLineChars="0"/>
        <w:rPr>
          <w:rFonts w:ascii="仿宋" w:hAnsi="仿宋" w:eastAsia="仿宋"/>
          <w:sz w:val="28"/>
          <w:szCs w:val="28"/>
        </w:rPr>
      </w:pPr>
      <w:bookmarkStart w:id="170" w:name="_Toc444174892"/>
      <w:r>
        <w:rPr>
          <w:rFonts w:hint="eastAsia" w:ascii="仿宋" w:hAnsi="仿宋" w:eastAsia="仿宋"/>
          <w:sz w:val="28"/>
          <w:szCs w:val="28"/>
        </w:rPr>
        <w:t>本合同金额共分4次支付：</w:t>
      </w:r>
    </w:p>
    <w:p>
      <w:pPr>
        <w:spacing w:line="580" w:lineRule="exact"/>
        <w:ind w:firstLine="560" w:firstLineChars="200"/>
        <w:rPr>
          <w:rFonts w:ascii="仿宋" w:hAnsi="仿宋" w:eastAsia="仿宋"/>
          <w:b/>
          <w:sz w:val="28"/>
          <w:szCs w:val="28"/>
        </w:rPr>
      </w:pPr>
      <w:r>
        <w:rPr>
          <w:rFonts w:hint="eastAsia" w:ascii="仿宋" w:hAnsi="仿宋" w:eastAsia="仿宋"/>
          <w:sz w:val="28"/>
          <w:szCs w:val="28"/>
        </w:rPr>
        <w:t>（1）乙方通过第1季度的验收后，向甲方出具增值税专用发票，甲方收到发票后二十个工作日内向乙方支付合同总价的25%（</w:t>
      </w:r>
      <w:r>
        <w:rPr>
          <w:rFonts w:hint="eastAsia" w:ascii="仿宋" w:hAnsi="仿宋" w:eastAsia="仿宋"/>
          <w:sz w:val="28"/>
          <w:szCs w:val="28"/>
          <w:u w:val="single"/>
        </w:rPr>
        <w:t xml:space="preserve"> </w:t>
      </w:r>
      <w:r>
        <w:rPr>
          <w:rFonts w:hint="eastAsia" w:ascii="仿宋" w:hAnsi="仿宋" w:eastAsia="仿宋"/>
          <w:sz w:val="28"/>
          <w:szCs w:val="28"/>
        </w:rPr>
        <w:t>元）。</w:t>
      </w:r>
    </w:p>
    <w:p>
      <w:pPr>
        <w:spacing w:line="580" w:lineRule="exact"/>
        <w:ind w:firstLine="560" w:firstLineChars="200"/>
        <w:rPr>
          <w:rFonts w:ascii="仿宋" w:hAnsi="仿宋" w:eastAsia="仿宋"/>
          <w:b/>
          <w:sz w:val="28"/>
          <w:szCs w:val="28"/>
        </w:rPr>
      </w:pPr>
      <w:r>
        <w:rPr>
          <w:rFonts w:hint="eastAsia" w:ascii="仿宋" w:hAnsi="仿宋" w:eastAsia="仿宋"/>
          <w:sz w:val="28"/>
          <w:szCs w:val="28"/>
        </w:rPr>
        <w:t>（2）</w:t>
      </w:r>
      <w:bookmarkStart w:id="171" w:name="OLE_LINK2"/>
      <w:r>
        <w:rPr>
          <w:rFonts w:hint="eastAsia" w:ascii="仿宋" w:hAnsi="仿宋" w:eastAsia="仿宋"/>
          <w:sz w:val="28"/>
          <w:szCs w:val="28"/>
        </w:rPr>
        <w:t>乙方通过第2季度的验收后，向甲方出具增值税专用发票，甲方收到发票后二十个工作日内向乙方支付合同总价的25%（</w:t>
      </w:r>
      <w:r>
        <w:rPr>
          <w:rFonts w:hint="eastAsia" w:ascii="仿宋" w:hAnsi="仿宋" w:eastAsia="仿宋"/>
          <w:sz w:val="28"/>
          <w:szCs w:val="28"/>
          <w:u w:val="single"/>
        </w:rPr>
        <w:t xml:space="preserve"> </w:t>
      </w:r>
      <w:r>
        <w:rPr>
          <w:rFonts w:hint="eastAsia" w:ascii="仿宋" w:hAnsi="仿宋" w:eastAsia="仿宋"/>
          <w:sz w:val="28"/>
          <w:szCs w:val="28"/>
        </w:rPr>
        <w:t>元）。</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（3）乙方通过第3季度的验收后，向甲方出具增值税专用发票，甲方收到发票后二十个工作日内向乙方支付合同总价的25%（</w:t>
      </w:r>
      <w:r>
        <w:rPr>
          <w:rFonts w:hint="eastAsia" w:ascii="仿宋" w:hAnsi="仿宋" w:eastAsia="仿宋"/>
          <w:sz w:val="28"/>
          <w:szCs w:val="28"/>
          <w:u w:val="single"/>
        </w:rPr>
        <w:t xml:space="preserve"> </w:t>
      </w:r>
      <w:r>
        <w:rPr>
          <w:rFonts w:hint="eastAsia" w:ascii="仿宋" w:hAnsi="仿宋" w:eastAsia="仿宋"/>
          <w:sz w:val="28"/>
          <w:szCs w:val="28"/>
        </w:rPr>
        <w:t>元）。</w:t>
      </w:r>
    </w:p>
    <w:p>
      <w:pPr>
        <w:spacing w:line="580" w:lineRule="exact"/>
        <w:ind w:firstLine="560" w:firstLineChars="200"/>
        <w:rPr>
          <w:rFonts w:ascii="仿宋" w:hAnsi="仿宋" w:eastAsia="仿宋"/>
          <w:b/>
          <w:sz w:val="28"/>
          <w:szCs w:val="28"/>
        </w:rPr>
      </w:pPr>
      <w:r>
        <w:rPr>
          <w:rFonts w:hint="eastAsia" w:ascii="仿宋" w:hAnsi="仿宋" w:eastAsia="仿宋"/>
          <w:sz w:val="28"/>
          <w:szCs w:val="28"/>
        </w:rPr>
        <w:t>（4）乙方通过第4季度的验收后，向甲方出具增值税专用发票，甲方收到发票后二十个工作日内向乙方支付合同总价的25%（</w:t>
      </w:r>
      <w:r>
        <w:rPr>
          <w:rFonts w:hint="eastAsia" w:ascii="仿宋" w:hAnsi="仿宋" w:eastAsia="仿宋"/>
          <w:sz w:val="28"/>
          <w:szCs w:val="28"/>
          <w:u w:val="single"/>
        </w:rPr>
        <w:t xml:space="preserve"> </w:t>
      </w:r>
      <w:r>
        <w:rPr>
          <w:rFonts w:hint="eastAsia" w:ascii="仿宋" w:hAnsi="仿宋" w:eastAsia="仿宋"/>
          <w:sz w:val="28"/>
          <w:szCs w:val="28"/>
        </w:rPr>
        <w:t>元）。</w:t>
      </w:r>
    </w:p>
    <w:bookmarkEnd w:id="171"/>
    <w:p>
      <w:pPr>
        <w:pStyle w:val="27"/>
        <w:numPr>
          <w:ilvl w:val="0"/>
          <w:numId w:val="28"/>
        </w:numPr>
        <w:spacing w:line="580" w:lineRule="exact"/>
        <w:ind w:firstLineChars="0"/>
        <w:rPr>
          <w:rFonts w:ascii="仿宋" w:hAnsi="仿宋" w:eastAsia="仿宋"/>
          <w:b/>
          <w:sz w:val="28"/>
          <w:szCs w:val="28"/>
        </w:rPr>
      </w:pPr>
      <w:r>
        <w:rPr>
          <w:rFonts w:hint="eastAsia" w:ascii="仿宋" w:hAnsi="仿宋" w:eastAsia="仿宋"/>
          <w:b/>
          <w:sz w:val="28"/>
          <w:szCs w:val="28"/>
        </w:rPr>
        <w:t>结算方式</w:t>
      </w:r>
      <w:bookmarkEnd w:id="170"/>
    </w:p>
    <w:p>
      <w:pPr>
        <w:pStyle w:val="27"/>
        <w:numPr>
          <w:ilvl w:val="3"/>
          <w:numId w:val="32"/>
        </w:numPr>
        <w:spacing w:line="580" w:lineRule="exact"/>
        <w:ind w:left="0" w:firstLine="560"/>
        <w:rPr>
          <w:rFonts w:ascii="仿宋" w:hAnsi="仿宋" w:eastAsia="仿宋"/>
          <w:sz w:val="28"/>
          <w:szCs w:val="28"/>
        </w:rPr>
      </w:pPr>
      <w:r>
        <w:rPr>
          <w:rFonts w:hint="eastAsia" w:ascii="仿宋" w:hAnsi="仿宋" w:eastAsia="仿宋"/>
          <w:sz w:val="28"/>
          <w:szCs w:val="28"/>
        </w:rPr>
        <w:t>按合同条款结算。</w:t>
      </w:r>
    </w:p>
    <w:p>
      <w:pPr>
        <w:pStyle w:val="27"/>
        <w:numPr>
          <w:ilvl w:val="3"/>
          <w:numId w:val="32"/>
        </w:numPr>
        <w:spacing w:line="580" w:lineRule="exact"/>
        <w:ind w:left="0" w:firstLine="560"/>
        <w:rPr>
          <w:rFonts w:ascii="仿宋" w:hAnsi="仿宋" w:eastAsia="仿宋"/>
          <w:sz w:val="28"/>
          <w:szCs w:val="28"/>
        </w:rPr>
      </w:pPr>
      <w:r>
        <w:rPr>
          <w:rFonts w:hint="eastAsia" w:ascii="仿宋" w:hAnsi="仿宋" w:eastAsia="仿宋"/>
          <w:sz w:val="28"/>
          <w:szCs w:val="28"/>
        </w:rPr>
        <w:t>甲方应以转帐支票、银行电汇或现金的形式支付合同款，支票必须正确填写乙方单位名称。</w:t>
      </w:r>
    </w:p>
    <w:p>
      <w:pPr>
        <w:pStyle w:val="27"/>
        <w:numPr>
          <w:ilvl w:val="3"/>
          <w:numId w:val="32"/>
        </w:numPr>
        <w:spacing w:line="580" w:lineRule="exact"/>
        <w:ind w:left="0" w:firstLine="560"/>
        <w:rPr>
          <w:rFonts w:ascii="仿宋" w:hAnsi="仿宋" w:eastAsia="仿宋"/>
          <w:sz w:val="28"/>
          <w:szCs w:val="28"/>
        </w:rPr>
      </w:pPr>
      <w:r>
        <w:rPr>
          <w:rFonts w:hint="eastAsia" w:ascii="仿宋" w:hAnsi="仿宋" w:eastAsia="仿宋"/>
          <w:sz w:val="28"/>
          <w:szCs w:val="28"/>
        </w:rPr>
        <w:t>乙方应按照甲方要求开具</w:t>
      </w:r>
      <w:r>
        <w:rPr>
          <w:rFonts w:hint="eastAsia" w:ascii="仿宋" w:hAnsi="仿宋" w:eastAsia="仿宋"/>
          <w:sz w:val="28"/>
          <w:szCs w:val="28"/>
          <w:u w:val="single"/>
        </w:rPr>
        <w:t>合法增值税专用发票</w:t>
      </w:r>
      <w:r>
        <w:rPr>
          <w:rFonts w:hint="eastAsia" w:ascii="仿宋" w:hAnsi="仿宋" w:eastAsia="仿宋"/>
          <w:sz w:val="28"/>
          <w:szCs w:val="28"/>
        </w:rPr>
        <w:t>。</w:t>
      </w:r>
    </w:p>
    <w:p>
      <w:pPr>
        <w:pStyle w:val="27"/>
        <w:numPr>
          <w:ilvl w:val="0"/>
          <w:numId w:val="28"/>
        </w:numPr>
        <w:spacing w:line="580" w:lineRule="exact"/>
        <w:ind w:firstLineChars="0"/>
        <w:rPr>
          <w:rFonts w:ascii="仿宋" w:hAnsi="仿宋" w:eastAsia="仿宋"/>
          <w:b/>
          <w:sz w:val="28"/>
          <w:szCs w:val="28"/>
        </w:rPr>
      </w:pPr>
      <w:bookmarkStart w:id="172" w:name="_Toc444174893"/>
      <w:r>
        <w:rPr>
          <w:rFonts w:hint="eastAsia" w:ascii="仿宋" w:hAnsi="仿宋" w:eastAsia="仿宋"/>
          <w:b/>
          <w:sz w:val="28"/>
          <w:szCs w:val="28"/>
        </w:rPr>
        <w:t>双方责任</w:t>
      </w:r>
      <w:bookmarkEnd w:id="172"/>
    </w:p>
    <w:p>
      <w:pPr>
        <w:pStyle w:val="27"/>
        <w:numPr>
          <w:ilvl w:val="0"/>
          <w:numId w:val="33"/>
        </w:numPr>
        <w:spacing w:line="580" w:lineRule="exact"/>
        <w:ind w:left="0" w:firstLine="560"/>
        <w:rPr>
          <w:rFonts w:ascii="仿宋" w:hAnsi="仿宋" w:eastAsia="仿宋"/>
          <w:sz w:val="28"/>
          <w:szCs w:val="28"/>
        </w:rPr>
      </w:pPr>
      <w:r>
        <w:rPr>
          <w:rFonts w:hint="eastAsia" w:ascii="仿宋" w:hAnsi="仿宋" w:eastAsia="仿宋"/>
          <w:sz w:val="28"/>
          <w:szCs w:val="28"/>
        </w:rPr>
        <w:t>乙方必须按合同规定的服务期及内容完成本项目。乙方提供的材料应为检验合格的优良产品，符合国家相关标准要求。</w:t>
      </w:r>
    </w:p>
    <w:p>
      <w:pPr>
        <w:pStyle w:val="27"/>
        <w:numPr>
          <w:ilvl w:val="0"/>
          <w:numId w:val="33"/>
        </w:numPr>
        <w:spacing w:line="580" w:lineRule="exact"/>
        <w:ind w:left="0" w:firstLine="560"/>
        <w:rPr>
          <w:rFonts w:ascii="仿宋" w:hAnsi="仿宋" w:eastAsia="仿宋"/>
          <w:sz w:val="28"/>
          <w:szCs w:val="28"/>
        </w:rPr>
      </w:pPr>
      <w:r>
        <w:rPr>
          <w:rFonts w:hint="eastAsia" w:ascii="仿宋" w:hAnsi="仿宋" w:eastAsia="仿宋"/>
          <w:sz w:val="28"/>
          <w:szCs w:val="28"/>
        </w:rPr>
        <w:t>乙方负责向各相关单位办理入场维修、保障、巡检等相关手续，并协调相关单位人员参与和配合工作开展，甲方予以适当协助。</w:t>
      </w:r>
    </w:p>
    <w:p>
      <w:pPr>
        <w:pStyle w:val="27"/>
        <w:numPr>
          <w:ilvl w:val="0"/>
          <w:numId w:val="33"/>
        </w:numPr>
        <w:spacing w:line="580" w:lineRule="exact"/>
        <w:ind w:left="0" w:firstLine="560"/>
        <w:rPr>
          <w:rFonts w:ascii="仿宋" w:hAnsi="仿宋" w:eastAsia="仿宋"/>
          <w:sz w:val="28"/>
          <w:szCs w:val="28"/>
        </w:rPr>
      </w:pPr>
      <w:r>
        <w:rPr>
          <w:rFonts w:hint="eastAsia" w:ascii="仿宋" w:hAnsi="仿宋" w:eastAsia="仿宋"/>
          <w:sz w:val="28"/>
          <w:szCs w:val="28"/>
        </w:rPr>
        <w:t>乙方负责施工人员的安全措施，如果发生安全问题由乙方负责。乙方进行工作时应严格遵守国家和行业的相关安全规程，乙方人员的人身安全保障及工伤损害赔偿等责任由乙方独立承担，因乙方责任而发生的乙方自身的损害由乙方负责，乙方责任造成甲方或第三方的人身及财产安全事故、设备损伤等均由乙方承担相应的恢复、赔偿等责任。</w:t>
      </w:r>
    </w:p>
    <w:p>
      <w:pPr>
        <w:pStyle w:val="27"/>
        <w:numPr>
          <w:ilvl w:val="0"/>
          <w:numId w:val="33"/>
        </w:numPr>
        <w:spacing w:line="580" w:lineRule="exact"/>
        <w:ind w:left="0" w:firstLine="560"/>
        <w:rPr>
          <w:rFonts w:ascii="仿宋" w:hAnsi="仿宋" w:eastAsia="仿宋"/>
          <w:sz w:val="28"/>
          <w:szCs w:val="28"/>
        </w:rPr>
      </w:pPr>
      <w:r>
        <w:rPr>
          <w:rFonts w:hint="eastAsia" w:ascii="仿宋" w:hAnsi="仿宋" w:eastAsia="仿宋"/>
          <w:sz w:val="28"/>
          <w:szCs w:val="28"/>
        </w:rPr>
        <w:t>乙方应按甲方要求对LED屏体、机构及相关设备设施定期进行清洁保养。</w:t>
      </w:r>
    </w:p>
    <w:p>
      <w:pPr>
        <w:pStyle w:val="27"/>
        <w:numPr>
          <w:ilvl w:val="0"/>
          <w:numId w:val="33"/>
        </w:numPr>
        <w:spacing w:line="580" w:lineRule="exact"/>
        <w:ind w:left="0" w:firstLine="560"/>
        <w:rPr>
          <w:rFonts w:ascii="仿宋" w:hAnsi="仿宋" w:eastAsia="仿宋"/>
          <w:sz w:val="28"/>
          <w:szCs w:val="28"/>
        </w:rPr>
      </w:pPr>
      <w:r>
        <w:rPr>
          <w:rFonts w:hint="eastAsia" w:ascii="仿宋" w:hAnsi="仿宋" w:eastAsia="仿宋"/>
          <w:sz w:val="28"/>
          <w:szCs w:val="28"/>
        </w:rPr>
        <w:t>乙方施工材料、工具等应自行保管，符合甲方的放置要求（甲方不承担保管责任），整个施工过程中不能影响甲方及甲方商户的正常运营管理，及对途经车辆及人员的影响降至最低。乙方应提前通知甲方，告知电、水方面能源的要求，并对甲方及用户使用的影响降到最低。</w:t>
      </w:r>
    </w:p>
    <w:p>
      <w:pPr>
        <w:pStyle w:val="27"/>
        <w:numPr>
          <w:ilvl w:val="0"/>
          <w:numId w:val="33"/>
        </w:numPr>
        <w:spacing w:line="580" w:lineRule="exact"/>
        <w:ind w:left="0" w:firstLine="560"/>
        <w:rPr>
          <w:rFonts w:ascii="仿宋" w:hAnsi="仿宋" w:eastAsia="仿宋"/>
          <w:sz w:val="28"/>
          <w:szCs w:val="28"/>
        </w:rPr>
      </w:pPr>
      <w:r>
        <w:rPr>
          <w:rFonts w:hint="eastAsia" w:ascii="仿宋" w:hAnsi="仿宋" w:eastAsia="仿宋"/>
          <w:sz w:val="28"/>
          <w:szCs w:val="28"/>
        </w:rPr>
        <w:t>乙方应按约定完成工作项目,解决技术问题,保证服务质量；严格按国家及行业技术规范和要求进行施工，保证施工质量。</w:t>
      </w:r>
    </w:p>
    <w:p>
      <w:pPr>
        <w:pStyle w:val="27"/>
        <w:numPr>
          <w:ilvl w:val="0"/>
          <w:numId w:val="33"/>
        </w:numPr>
        <w:spacing w:line="580" w:lineRule="exact"/>
        <w:ind w:left="0" w:firstLine="560"/>
        <w:rPr>
          <w:rFonts w:ascii="仿宋" w:hAnsi="仿宋" w:eastAsia="仿宋"/>
          <w:sz w:val="28"/>
          <w:szCs w:val="28"/>
        </w:rPr>
      </w:pPr>
      <w:r>
        <w:rPr>
          <w:rFonts w:hint="eastAsia" w:ascii="仿宋" w:hAnsi="仿宋" w:eastAsia="仿宋"/>
          <w:sz w:val="28"/>
          <w:szCs w:val="28"/>
        </w:rPr>
        <w:t>乙方应按甲方要求完成对施工场地的清理，经甲方检查合格后无条件保持完好地移交给甲方。拒不清理的，甲方有权暂停向乙方支付本合同费用。</w:t>
      </w:r>
    </w:p>
    <w:p>
      <w:pPr>
        <w:pStyle w:val="27"/>
        <w:numPr>
          <w:ilvl w:val="0"/>
          <w:numId w:val="33"/>
        </w:numPr>
        <w:spacing w:line="580" w:lineRule="exact"/>
        <w:ind w:left="0" w:firstLine="560"/>
        <w:rPr>
          <w:rFonts w:ascii="仿宋" w:hAnsi="仿宋" w:eastAsia="仿宋"/>
          <w:sz w:val="28"/>
          <w:szCs w:val="28"/>
        </w:rPr>
      </w:pPr>
      <w:r>
        <w:rPr>
          <w:rFonts w:hint="eastAsia" w:ascii="仿宋" w:hAnsi="仿宋" w:eastAsia="仿宋"/>
          <w:sz w:val="28"/>
          <w:szCs w:val="28"/>
        </w:rPr>
        <w:t>甲方应及时给予审核及办理验收结算。</w:t>
      </w:r>
    </w:p>
    <w:p>
      <w:pPr>
        <w:pStyle w:val="27"/>
        <w:numPr>
          <w:ilvl w:val="0"/>
          <w:numId w:val="28"/>
        </w:numPr>
        <w:spacing w:line="580" w:lineRule="exact"/>
        <w:ind w:firstLineChars="0"/>
        <w:rPr>
          <w:rFonts w:ascii="仿宋" w:hAnsi="仿宋" w:eastAsia="仿宋"/>
          <w:b/>
          <w:sz w:val="28"/>
          <w:szCs w:val="28"/>
        </w:rPr>
      </w:pPr>
      <w:bookmarkStart w:id="173" w:name="_Toc444174894"/>
      <w:r>
        <w:rPr>
          <w:rFonts w:hint="eastAsia" w:ascii="仿宋" w:hAnsi="仿宋" w:eastAsia="仿宋"/>
          <w:b/>
          <w:sz w:val="28"/>
          <w:szCs w:val="28"/>
        </w:rPr>
        <w:t>违约责任</w:t>
      </w:r>
      <w:bookmarkEnd w:id="173"/>
    </w:p>
    <w:p>
      <w:pPr>
        <w:pStyle w:val="27"/>
        <w:numPr>
          <w:ilvl w:val="0"/>
          <w:numId w:val="34"/>
        </w:numPr>
        <w:spacing w:line="580" w:lineRule="exact"/>
        <w:ind w:left="0" w:firstLine="560"/>
        <w:rPr>
          <w:rFonts w:ascii="仿宋" w:hAnsi="仿宋" w:eastAsia="仿宋"/>
          <w:sz w:val="28"/>
          <w:szCs w:val="28"/>
        </w:rPr>
      </w:pPr>
      <w:r>
        <w:rPr>
          <w:rFonts w:hint="eastAsia" w:ascii="仿宋" w:hAnsi="仿宋" w:eastAsia="仿宋"/>
          <w:sz w:val="28"/>
          <w:szCs w:val="28"/>
        </w:rPr>
        <w:t>乙方应于合同服务期限内按约定完成相关工作，如发生逾期修复，每逾期1天，则按合同总金额的5‰支付违约金给甲方，违约金由甲方在乙方的每次支付的维保费中扣除。</w:t>
      </w:r>
    </w:p>
    <w:p>
      <w:pPr>
        <w:pStyle w:val="27"/>
        <w:numPr>
          <w:ilvl w:val="0"/>
          <w:numId w:val="34"/>
        </w:numPr>
        <w:spacing w:line="580" w:lineRule="exact"/>
        <w:ind w:left="0" w:firstLine="560"/>
        <w:rPr>
          <w:rFonts w:ascii="仿宋" w:hAnsi="仿宋" w:eastAsia="仿宋"/>
          <w:sz w:val="28"/>
          <w:szCs w:val="28"/>
        </w:rPr>
      </w:pPr>
      <w:r>
        <w:rPr>
          <w:rFonts w:hint="eastAsia" w:ascii="仿宋" w:hAnsi="仿宋" w:eastAsia="仿宋"/>
          <w:sz w:val="28"/>
          <w:szCs w:val="28"/>
        </w:rPr>
        <w:t>乙方在履行本合同义务时，如发生重大安全事故或播放事故，乙方需赔偿甲方因此遭受的实际损失，并承担相应的法律责任。</w:t>
      </w:r>
    </w:p>
    <w:p>
      <w:pPr>
        <w:pStyle w:val="27"/>
        <w:numPr>
          <w:ilvl w:val="0"/>
          <w:numId w:val="34"/>
        </w:numPr>
        <w:spacing w:line="580" w:lineRule="exact"/>
        <w:ind w:left="0" w:firstLine="560"/>
        <w:rPr>
          <w:rFonts w:ascii="仿宋" w:hAnsi="仿宋" w:eastAsia="仿宋"/>
          <w:sz w:val="28"/>
          <w:szCs w:val="28"/>
        </w:rPr>
      </w:pPr>
      <w:r>
        <w:rPr>
          <w:rFonts w:hint="eastAsia" w:ascii="仿宋" w:hAnsi="仿宋" w:eastAsia="仿宋"/>
          <w:sz w:val="28"/>
          <w:szCs w:val="28"/>
        </w:rPr>
        <w:t>乙方忠实履行合同不存在违约或验收不通过的情况下，甲方如不按合同规定支付服务款给乙方，则每</w:t>
      </w:r>
      <w:r>
        <w:rPr>
          <w:rFonts w:hint="eastAsia" w:ascii="仿宋" w:hAnsi="仿宋" w:eastAsia="仿宋"/>
          <w:sz w:val="28"/>
          <w:szCs w:val="28"/>
          <w:lang w:val="en-US" w:eastAsia="zh-CN"/>
        </w:rPr>
        <w:t>逾期一</w:t>
      </w:r>
      <w:r>
        <w:rPr>
          <w:rFonts w:hint="eastAsia" w:ascii="仿宋" w:hAnsi="仿宋" w:eastAsia="仿宋"/>
          <w:sz w:val="28"/>
          <w:szCs w:val="28"/>
        </w:rPr>
        <w:t>天按合同总金额的5‰支付违约金。</w:t>
      </w:r>
    </w:p>
    <w:p>
      <w:pPr>
        <w:pStyle w:val="27"/>
        <w:numPr>
          <w:ilvl w:val="0"/>
          <w:numId w:val="34"/>
        </w:numPr>
        <w:spacing w:line="580" w:lineRule="exact"/>
        <w:ind w:left="0" w:firstLine="560"/>
        <w:rPr>
          <w:rFonts w:ascii="仿宋" w:hAnsi="仿宋" w:eastAsia="仿宋"/>
          <w:sz w:val="28"/>
          <w:szCs w:val="28"/>
        </w:rPr>
      </w:pPr>
      <w:r>
        <w:rPr>
          <w:rFonts w:hint="eastAsia" w:ascii="仿宋" w:hAnsi="仿宋" w:eastAsia="仿宋"/>
          <w:sz w:val="28"/>
          <w:szCs w:val="28"/>
        </w:rPr>
        <w:t>项目达不到合同约定质量标准的，乙方应免费返工，如因此而造成甲方损失的 ，甲方有权要求乙方赔偿。</w:t>
      </w:r>
    </w:p>
    <w:p>
      <w:pPr>
        <w:pStyle w:val="27"/>
        <w:numPr>
          <w:ilvl w:val="0"/>
          <w:numId w:val="34"/>
        </w:numPr>
        <w:spacing w:line="580" w:lineRule="exact"/>
        <w:ind w:left="0" w:firstLine="560"/>
        <w:rPr>
          <w:rFonts w:ascii="仿宋" w:hAnsi="仿宋" w:eastAsia="仿宋"/>
          <w:sz w:val="28"/>
          <w:szCs w:val="28"/>
        </w:rPr>
      </w:pPr>
      <w:r>
        <w:rPr>
          <w:rFonts w:hint="eastAsia" w:ascii="仿宋" w:hAnsi="仿宋" w:eastAsia="仿宋"/>
          <w:sz w:val="28"/>
          <w:szCs w:val="28"/>
        </w:rPr>
        <w:t>如乙方的进度或质量达不到甲方或业主的要求，未能限期整改，甲方有权指定其他有资质和能力的单位替代履行相应部分，甲方也有权解除合同并指定有资质能力的单位替代履行未完工程。甲方在与乙方结算时将替代履行所需费用（包括增加支出的费用）从乙方合同价款中扣除，不足部分，由乙方补足。</w:t>
      </w:r>
    </w:p>
    <w:p>
      <w:pPr>
        <w:pStyle w:val="27"/>
        <w:numPr>
          <w:ilvl w:val="0"/>
          <w:numId w:val="28"/>
        </w:numPr>
        <w:spacing w:line="580" w:lineRule="exact"/>
        <w:ind w:firstLineChars="0"/>
        <w:rPr>
          <w:rFonts w:ascii="仿宋" w:hAnsi="仿宋" w:eastAsia="仿宋"/>
          <w:b/>
          <w:sz w:val="28"/>
          <w:szCs w:val="28"/>
        </w:rPr>
      </w:pPr>
      <w:r>
        <w:rPr>
          <w:rFonts w:hint="eastAsia" w:ascii="仿宋" w:hAnsi="仿宋" w:eastAsia="仿宋"/>
          <w:b/>
          <w:sz w:val="28"/>
          <w:szCs w:val="28"/>
        </w:rPr>
        <w:t>不可抗力</w:t>
      </w:r>
    </w:p>
    <w:p>
      <w:pPr>
        <w:pStyle w:val="27"/>
        <w:numPr>
          <w:ilvl w:val="0"/>
          <w:numId w:val="35"/>
        </w:numPr>
        <w:spacing w:line="580" w:lineRule="exact"/>
        <w:ind w:left="0" w:firstLine="560"/>
        <w:rPr>
          <w:rFonts w:ascii="仿宋" w:hAnsi="仿宋" w:eastAsia="仿宋"/>
          <w:sz w:val="28"/>
          <w:szCs w:val="28"/>
        </w:rPr>
      </w:pPr>
      <w:r>
        <w:rPr>
          <w:rFonts w:hint="eastAsia" w:ascii="仿宋" w:hAnsi="仿宋" w:eastAsia="仿宋"/>
          <w:sz w:val="28"/>
          <w:szCs w:val="28"/>
        </w:rPr>
        <w:t>由于不可抗力导致合同无法履行的，受不可抗力影响一方应立即将不能履行本合同的事实书面通知对方，并在不可抗力发生之日起十五日内提供有关相关政府部门或公证机关出具的证明文件。</w:t>
      </w:r>
    </w:p>
    <w:p>
      <w:pPr>
        <w:pStyle w:val="27"/>
        <w:numPr>
          <w:ilvl w:val="0"/>
          <w:numId w:val="35"/>
        </w:numPr>
        <w:spacing w:line="580" w:lineRule="exact"/>
        <w:ind w:left="0" w:firstLine="560"/>
        <w:rPr>
          <w:rFonts w:ascii="仿宋" w:hAnsi="仿宋" w:eastAsia="仿宋"/>
          <w:sz w:val="28"/>
          <w:szCs w:val="28"/>
        </w:rPr>
      </w:pPr>
      <w:r>
        <w:rPr>
          <w:rFonts w:hint="eastAsia" w:ascii="仿宋" w:hAnsi="仿宋" w:eastAsia="仿宋"/>
          <w:sz w:val="28"/>
          <w:szCs w:val="28"/>
        </w:rPr>
        <w:t>本合同在不可抗力影响范围及其持续期间内将中止履行，本合同执行时间可根据中止的时间相应顺延，各方无须承担违约责任。不可抗力事件消除后，各方应就合同的履行及后续问题进行协商。如果不可抗力原因造成本合同中止履行超过</w:t>
      </w:r>
      <w:r>
        <w:rPr>
          <w:rFonts w:ascii="仿宋" w:hAnsi="仿宋" w:eastAsia="仿宋"/>
          <w:sz w:val="28"/>
          <w:szCs w:val="28"/>
        </w:rPr>
        <w:t>30</w:t>
      </w:r>
      <w:r>
        <w:rPr>
          <w:rFonts w:hint="eastAsia" w:ascii="仿宋" w:hAnsi="仿宋" w:eastAsia="仿宋"/>
          <w:sz w:val="28"/>
          <w:szCs w:val="28"/>
        </w:rPr>
        <w:t>个工作日，任何一方均有权解除合同。</w:t>
      </w:r>
    </w:p>
    <w:p>
      <w:pPr>
        <w:pStyle w:val="27"/>
        <w:numPr>
          <w:ilvl w:val="0"/>
          <w:numId w:val="28"/>
        </w:numPr>
        <w:spacing w:line="580" w:lineRule="exact"/>
        <w:ind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退出机制</w:t>
      </w:r>
    </w:p>
    <w:p>
      <w:pPr>
        <w:pStyle w:val="27"/>
        <w:numPr>
          <w:ilvl w:val="0"/>
          <w:numId w:val="36"/>
        </w:numPr>
        <w:spacing w:line="580" w:lineRule="exact"/>
        <w:ind w:left="0"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本合同签订生效后，甲方因生产经营需要，有权中途停止使用部分或全部LED屏，甲方应通过书面形式告知乙方。</w:t>
      </w:r>
    </w:p>
    <w:p>
      <w:pPr>
        <w:pStyle w:val="27"/>
        <w:numPr>
          <w:ilvl w:val="0"/>
          <w:numId w:val="36"/>
        </w:numPr>
        <w:spacing w:line="580" w:lineRule="exact"/>
        <w:ind w:left="0"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方中途停止使用的LED屏，自该LED屏停止使用之日起乙方无需再提供后续维保服务，甲方无需再向乙方支付该LED屏剩余维保服务费（剩余维保服务费的计算方式为：剩余维保服务费=合同总金额÷需维保的LED屏总面积÷365天×停止使用的LED屏面积×剩余维保服务天数）。</w:t>
      </w:r>
    </w:p>
    <w:p>
      <w:pPr>
        <w:pStyle w:val="27"/>
        <w:numPr>
          <w:ilvl w:val="0"/>
          <w:numId w:val="28"/>
        </w:numPr>
        <w:spacing w:line="580" w:lineRule="exact"/>
        <w:ind w:firstLineChars="0"/>
        <w:rPr>
          <w:rFonts w:ascii="仿宋" w:hAnsi="仿宋" w:eastAsia="仿宋"/>
          <w:b/>
          <w:sz w:val="28"/>
          <w:szCs w:val="28"/>
        </w:rPr>
      </w:pPr>
      <w:r>
        <w:rPr>
          <w:rFonts w:hint="eastAsia" w:ascii="仿宋" w:hAnsi="仿宋" w:eastAsia="仿宋"/>
          <w:b/>
          <w:sz w:val="28"/>
          <w:szCs w:val="28"/>
        </w:rPr>
        <w:t>争议解决</w:t>
      </w:r>
    </w:p>
    <w:p>
      <w:pPr>
        <w:pStyle w:val="27"/>
        <w:numPr>
          <w:ilvl w:val="0"/>
          <w:numId w:val="37"/>
        </w:numPr>
        <w:spacing w:line="580" w:lineRule="exact"/>
        <w:ind w:left="0" w:firstLine="560"/>
        <w:rPr>
          <w:rFonts w:ascii="仿宋" w:hAnsi="仿宋" w:eastAsia="仿宋"/>
          <w:sz w:val="28"/>
          <w:szCs w:val="28"/>
        </w:rPr>
      </w:pPr>
      <w:r>
        <w:rPr>
          <w:rFonts w:hint="eastAsia" w:ascii="仿宋" w:hAnsi="仿宋" w:eastAsia="仿宋"/>
          <w:sz w:val="28"/>
          <w:szCs w:val="28"/>
        </w:rPr>
        <w:t>本合同的成立、有效性、解释、履行及由此产生的争议的解决，均应适用中华人民共和国法律。</w:t>
      </w:r>
    </w:p>
    <w:p>
      <w:pPr>
        <w:pStyle w:val="27"/>
        <w:numPr>
          <w:ilvl w:val="0"/>
          <w:numId w:val="37"/>
        </w:numPr>
        <w:spacing w:line="580" w:lineRule="exact"/>
        <w:ind w:left="0" w:firstLine="560"/>
        <w:rPr>
          <w:rFonts w:ascii="仿宋" w:hAnsi="仿宋" w:eastAsia="仿宋"/>
          <w:sz w:val="28"/>
          <w:szCs w:val="28"/>
        </w:rPr>
      </w:pPr>
      <w:r>
        <w:rPr>
          <w:rFonts w:hint="eastAsia" w:ascii="仿宋" w:hAnsi="仿宋" w:eastAsia="仿宋"/>
          <w:sz w:val="28"/>
          <w:szCs w:val="28"/>
        </w:rPr>
        <w:t>因本合同引起的或与本合同有关的任何争议，应本着友好合作的态度协商解决。如协商不成，均可向甲方所在地人民法院提起诉讼。</w:t>
      </w:r>
    </w:p>
    <w:p>
      <w:pPr>
        <w:pStyle w:val="27"/>
        <w:numPr>
          <w:ilvl w:val="0"/>
          <w:numId w:val="37"/>
        </w:numPr>
        <w:spacing w:line="580" w:lineRule="exact"/>
        <w:ind w:left="0" w:firstLine="560"/>
        <w:rPr>
          <w:rFonts w:ascii="仿宋" w:hAnsi="仿宋" w:eastAsia="仿宋"/>
          <w:sz w:val="28"/>
          <w:szCs w:val="28"/>
        </w:rPr>
      </w:pPr>
      <w:r>
        <w:rPr>
          <w:rFonts w:hint="eastAsia" w:ascii="仿宋" w:hAnsi="仿宋" w:eastAsia="仿宋"/>
          <w:sz w:val="28"/>
          <w:szCs w:val="28"/>
        </w:rPr>
        <w:t>诉讼期间，除争议内容以外，各方均应继续履行合同约定的其他内容。</w:t>
      </w:r>
    </w:p>
    <w:p>
      <w:pPr>
        <w:pStyle w:val="27"/>
        <w:numPr>
          <w:ilvl w:val="0"/>
          <w:numId w:val="28"/>
        </w:numPr>
        <w:spacing w:line="580" w:lineRule="exact"/>
        <w:ind w:firstLineChars="0"/>
        <w:rPr>
          <w:rFonts w:ascii="仿宋" w:hAnsi="仿宋" w:eastAsia="仿宋"/>
          <w:b/>
          <w:sz w:val="28"/>
          <w:szCs w:val="28"/>
        </w:rPr>
      </w:pPr>
      <w:bookmarkStart w:id="174" w:name="_Toc444174895"/>
      <w:r>
        <w:rPr>
          <w:rFonts w:hint="eastAsia" w:ascii="仿宋" w:hAnsi="仿宋" w:eastAsia="仿宋"/>
          <w:b/>
          <w:sz w:val="28"/>
          <w:szCs w:val="28"/>
        </w:rPr>
        <w:t>其它</w:t>
      </w:r>
      <w:bookmarkEnd w:id="174"/>
    </w:p>
    <w:p>
      <w:pPr>
        <w:pStyle w:val="27"/>
        <w:numPr>
          <w:ilvl w:val="0"/>
          <w:numId w:val="38"/>
        </w:numPr>
        <w:spacing w:line="580" w:lineRule="exact"/>
        <w:ind w:left="0" w:firstLine="560"/>
        <w:rPr>
          <w:rFonts w:ascii="仿宋" w:hAnsi="仿宋" w:eastAsia="仿宋"/>
          <w:sz w:val="28"/>
          <w:szCs w:val="28"/>
        </w:rPr>
      </w:pPr>
      <w:r>
        <w:rPr>
          <w:rFonts w:hint="eastAsia" w:ascii="仿宋" w:hAnsi="仿宋" w:eastAsia="仿宋"/>
          <w:sz w:val="28"/>
          <w:szCs w:val="28"/>
        </w:rPr>
        <w:t>本合同任何内容的修改，须由甲、乙双方进行协商，并签订补充协议或书面文件，具有同等法律效力。</w:t>
      </w:r>
    </w:p>
    <w:p>
      <w:pPr>
        <w:pStyle w:val="27"/>
        <w:numPr>
          <w:ilvl w:val="0"/>
          <w:numId w:val="38"/>
        </w:numPr>
        <w:spacing w:line="580" w:lineRule="exact"/>
        <w:ind w:left="0" w:firstLine="560"/>
        <w:rPr>
          <w:rFonts w:ascii="仿宋" w:hAnsi="仿宋" w:eastAsia="仿宋"/>
          <w:sz w:val="28"/>
          <w:szCs w:val="28"/>
        </w:rPr>
      </w:pPr>
      <w:r>
        <w:rPr>
          <w:rFonts w:hint="eastAsia" w:ascii="仿宋" w:hAnsi="仿宋" w:eastAsia="仿宋"/>
          <w:sz w:val="28"/>
          <w:szCs w:val="28"/>
        </w:rPr>
        <w:t>本合同一式</w:t>
      </w:r>
      <w:r>
        <w:rPr>
          <w:rFonts w:hint="eastAsia" w:ascii="仿宋" w:hAnsi="仿宋" w:eastAsia="仿宋"/>
          <w:sz w:val="28"/>
          <w:szCs w:val="28"/>
          <w:u w:val="single"/>
        </w:rPr>
        <w:t>陆</w:t>
      </w:r>
      <w:r>
        <w:rPr>
          <w:rFonts w:hint="eastAsia" w:ascii="仿宋" w:hAnsi="仿宋" w:eastAsia="仿宋"/>
          <w:sz w:val="28"/>
          <w:szCs w:val="28"/>
        </w:rPr>
        <w:t>份，甲方执</w:t>
      </w:r>
      <w:r>
        <w:rPr>
          <w:rFonts w:hint="eastAsia" w:ascii="仿宋" w:hAnsi="仿宋" w:eastAsia="仿宋"/>
          <w:sz w:val="28"/>
          <w:szCs w:val="28"/>
          <w:u w:val="single"/>
        </w:rPr>
        <w:t>肆</w:t>
      </w:r>
      <w:r>
        <w:rPr>
          <w:rFonts w:hint="eastAsia" w:ascii="仿宋" w:hAnsi="仿宋" w:eastAsia="仿宋"/>
          <w:sz w:val="28"/>
          <w:szCs w:val="28"/>
        </w:rPr>
        <w:t>份、乙方执</w:t>
      </w:r>
      <w:r>
        <w:rPr>
          <w:rFonts w:hint="eastAsia" w:ascii="仿宋" w:hAnsi="仿宋" w:eastAsia="仿宋"/>
          <w:sz w:val="28"/>
          <w:szCs w:val="28"/>
          <w:u w:val="single"/>
        </w:rPr>
        <w:t>贰</w:t>
      </w:r>
      <w:r>
        <w:rPr>
          <w:rFonts w:hint="eastAsia" w:ascii="仿宋" w:hAnsi="仿宋" w:eastAsia="仿宋"/>
          <w:sz w:val="28"/>
          <w:szCs w:val="28"/>
        </w:rPr>
        <w:t>份，经双方签字、盖章后即时生效。</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（以下无正文）</w:t>
      </w:r>
    </w:p>
    <w:p>
      <w:pPr>
        <w:spacing w:line="580" w:lineRule="exact"/>
        <w:ind w:firstLine="560"/>
        <w:rPr>
          <w:rFonts w:ascii="仿宋" w:hAnsi="仿宋" w:eastAsia="仿宋"/>
          <w:sz w:val="28"/>
          <w:szCs w:val="28"/>
        </w:rPr>
      </w:pPr>
    </w:p>
    <w:p>
      <w:pPr>
        <w:spacing w:line="580" w:lineRule="exact"/>
        <w:ind w:firstLine="560"/>
        <w:rPr>
          <w:rFonts w:ascii="仿宋" w:hAnsi="仿宋" w:eastAsia="仿宋"/>
          <w:sz w:val="28"/>
          <w:szCs w:val="28"/>
        </w:rPr>
      </w:pPr>
    </w:p>
    <w:p>
      <w:pPr>
        <w:spacing w:line="580" w:lineRule="exact"/>
        <w:rPr>
          <w:rFonts w:ascii="仿宋" w:hAnsi="仿宋" w:eastAsia="仿宋"/>
          <w:sz w:val="28"/>
          <w:szCs w:val="28"/>
        </w:rPr>
      </w:pPr>
      <w:r>
        <w:rPr>
          <w:rFonts w:hint="eastAsia" w:ascii="仿宋" w:hAnsi="仿宋" w:eastAsia="仿宋"/>
          <w:sz w:val="28"/>
          <w:szCs w:val="28"/>
        </w:rPr>
        <w:t>甲方（盖章）：                     乙方（盖章）：</w:t>
      </w:r>
    </w:p>
    <w:p>
      <w:pPr>
        <w:spacing w:line="580" w:lineRule="exact"/>
        <w:ind w:left="420" w:firstLine="560"/>
        <w:rPr>
          <w:rFonts w:ascii="宋体" w:hAnsi="宋体"/>
          <w:sz w:val="28"/>
          <w:szCs w:val="28"/>
        </w:rPr>
      </w:pPr>
    </w:p>
    <w:p>
      <w:pPr>
        <w:spacing w:line="580" w:lineRule="exact"/>
        <w:rPr>
          <w:rFonts w:ascii="仿宋" w:hAnsi="仿宋" w:eastAsia="仿宋"/>
          <w:sz w:val="28"/>
          <w:szCs w:val="28"/>
        </w:rPr>
      </w:pPr>
      <w:r>
        <w:rPr>
          <w:rFonts w:hint="eastAsia" w:ascii="仿宋" w:hAnsi="仿宋" w:eastAsia="仿宋" w:cs="仿宋_GB2312"/>
          <w:sz w:val="28"/>
          <w:szCs w:val="28"/>
          <w:shd w:val="clear" w:color="auto" w:fill="FFFFFF"/>
        </w:rPr>
        <w:t>法定代表人签字</w:t>
      </w:r>
      <w:r>
        <w:rPr>
          <w:rFonts w:hint="eastAsia" w:ascii="仿宋" w:hAnsi="仿宋" w:eastAsia="仿宋"/>
          <w:sz w:val="28"/>
          <w:szCs w:val="28"/>
        </w:rPr>
        <w:t xml:space="preserve">：                  </w:t>
      </w:r>
      <w:r>
        <w:rPr>
          <w:rFonts w:hint="eastAsia" w:ascii="仿宋" w:hAnsi="仿宋" w:eastAsia="仿宋" w:cs="仿宋_GB2312"/>
          <w:sz w:val="28"/>
          <w:szCs w:val="28"/>
          <w:shd w:val="clear" w:color="auto" w:fill="FFFFFF"/>
        </w:rPr>
        <w:t>法定代表人签字</w:t>
      </w:r>
      <w:r>
        <w:rPr>
          <w:rFonts w:hint="eastAsia" w:ascii="仿宋" w:hAnsi="仿宋" w:eastAsia="仿宋"/>
          <w:sz w:val="28"/>
          <w:szCs w:val="28"/>
        </w:rPr>
        <w:t xml:space="preserve">：                    </w:t>
      </w:r>
    </w:p>
    <w:p>
      <w:pPr>
        <w:widowControl/>
        <w:spacing w:line="580" w:lineRule="exact"/>
        <w:jc w:val="left"/>
        <w:rPr>
          <w:rFonts w:ascii="宋体" w:hAnsi="宋体"/>
          <w:b/>
          <w:sz w:val="28"/>
          <w:szCs w:val="28"/>
        </w:rPr>
      </w:pPr>
      <w:r>
        <w:rPr>
          <w:rFonts w:hint="eastAsia" w:ascii="仿宋" w:hAnsi="仿宋" w:eastAsia="仿宋"/>
          <w:sz w:val="28"/>
          <w:szCs w:val="28"/>
        </w:rPr>
        <w:t>签订日期：   年  月  日           签订日期：   年  月  日</w:t>
      </w:r>
    </w:p>
    <w:p>
      <w:pPr>
        <w:widowControl/>
        <w:ind w:firstLine="642"/>
        <w:jc w:val="left"/>
        <w:rPr>
          <w:rFonts w:ascii="仿宋" w:hAnsi="仿宋" w:eastAsia="仿宋"/>
          <w:b/>
          <w:spacing w:val="20"/>
          <w:sz w:val="28"/>
          <w:szCs w:val="28"/>
        </w:rPr>
      </w:pPr>
      <w:r>
        <w:rPr>
          <w:rFonts w:ascii="仿宋" w:hAnsi="仿宋" w:eastAsia="仿宋"/>
          <w:b/>
          <w:spacing w:val="20"/>
          <w:sz w:val="28"/>
          <w:szCs w:val="28"/>
        </w:rPr>
        <w:br w:type="page"/>
      </w:r>
    </w:p>
    <w:p>
      <w:pPr>
        <w:widowControl/>
        <w:jc w:val="left"/>
        <w:rPr>
          <w:rFonts w:ascii="仿宋" w:hAnsi="仿宋" w:eastAsia="仿宋"/>
          <w:b/>
          <w:spacing w:val="20"/>
          <w:sz w:val="28"/>
          <w:szCs w:val="28"/>
        </w:rPr>
      </w:pPr>
      <w:r>
        <w:rPr>
          <w:rFonts w:hint="eastAsia" w:ascii="仿宋" w:hAnsi="仿宋" w:eastAsia="仿宋"/>
          <w:b/>
          <w:spacing w:val="20"/>
          <w:sz w:val="28"/>
          <w:szCs w:val="28"/>
        </w:rPr>
        <w:t>附件1:</w:t>
      </w:r>
    </w:p>
    <w:p>
      <w:pPr>
        <w:jc w:val="center"/>
        <w:rPr>
          <w:rFonts w:ascii="黑体" w:hAnsi="黑体" w:eastAsia="黑体"/>
          <w:sz w:val="44"/>
          <w:szCs w:val="44"/>
        </w:rPr>
      </w:pPr>
      <w:r>
        <w:rPr>
          <w:rFonts w:hint="eastAsia" w:ascii="黑体" w:hAnsi="黑体" w:eastAsia="黑体"/>
          <w:sz w:val="44"/>
          <w:szCs w:val="44"/>
        </w:rPr>
        <w:t>廉洁协议</w:t>
      </w:r>
    </w:p>
    <w:p>
      <w:pPr>
        <w:spacing w:line="500" w:lineRule="exact"/>
        <w:rPr>
          <w:rFonts w:ascii="仿宋_GB2312" w:hAnsi="仿宋" w:eastAsia="仿宋_GB2312"/>
          <w:sz w:val="28"/>
          <w:szCs w:val="28"/>
        </w:rPr>
      </w:pPr>
    </w:p>
    <w:p>
      <w:pPr>
        <w:spacing w:line="560" w:lineRule="exact"/>
        <w:rPr>
          <w:rFonts w:ascii="仿宋" w:hAnsi="仿宋" w:eastAsia="仿宋"/>
          <w:sz w:val="24"/>
          <w:szCs w:val="24"/>
        </w:rPr>
      </w:pPr>
      <w:r>
        <w:rPr>
          <w:rFonts w:hint="eastAsia" w:ascii="仿宋" w:hAnsi="仿宋" w:eastAsia="仿宋"/>
          <w:sz w:val="24"/>
          <w:szCs w:val="24"/>
        </w:rPr>
        <w:t>甲方：广州市城投资产经营管理有限公司珠江新城分公司</w:t>
      </w:r>
    </w:p>
    <w:p>
      <w:pPr>
        <w:spacing w:line="560" w:lineRule="exact"/>
        <w:rPr>
          <w:rFonts w:ascii="仿宋" w:hAnsi="仿宋" w:eastAsia="仿宋"/>
          <w:sz w:val="24"/>
          <w:szCs w:val="24"/>
        </w:rPr>
      </w:pPr>
      <w:r>
        <w:rPr>
          <w:rFonts w:hint="eastAsia" w:ascii="仿宋" w:hAnsi="仿宋" w:eastAsia="仿宋"/>
          <w:sz w:val="24"/>
          <w:szCs w:val="24"/>
        </w:rPr>
        <w:t>乙方：</w:t>
      </w:r>
      <w:r>
        <w:rPr>
          <w:rFonts w:ascii="仿宋" w:hAnsi="仿宋" w:eastAsia="仿宋"/>
          <w:sz w:val="24"/>
          <w:szCs w:val="24"/>
        </w:rPr>
        <w:t xml:space="preserve"> </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为保障甲方和乙方在业务往来中的合法权益，促进企业党风建设、廉洁从业，预防商业贿赂和不正当竞争，按照《中华人民共和国</w:t>
      </w:r>
      <w:r>
        <w:rPr>
          <w:rFonts w:hint="eastAsia" w:ascii="仿宋" w:hAnsi="仿宋" w:eastAsia="仿宋"/>
          <w:sz w:val="24"/>
          <w:szCs w:val="24"/>
          <w:lang w:val="en-US" w:eastAsia="zh-CN"/>
        </w:rPr>
        <w:t>民</w:t>
      </w:r>
      <w:r>
        <w:rPr>
          <w:rFonts w:hint="eastAsia" w:ascii="仿宋" w:hAnsi="仿宋" w:eastAsia="仿宋"/>
          <w:sz w:val="24"/>
          <w:szCs w:val="24"/>
        </w:rPr>
        <w:t>法</w:t>
      </w:r>
      <w:r>
        <w:rPr>
          <w:rFonts w:hint="eastAsia" w:ascii="仿宋" w:hAnsi="仿宋" w:eastAsia="仿宋"/>
          <w:sz w:val="24"/>
          <w:szCs w:val="24"/>
          <w:lang w:val="en-US" w:eastAsia="zh-CN"/>
        </w:rPr>
        <w:t>典</w:t>
      </w:r>
      <w:r>
        <w:rPr>
          <w:rFonts w:hint="eastAsia" w:ascii="仿宋" w:hAnsi="仿宋" w:eastAsia="仿宋"/>
          <w:sz w:val="24"/>
          <w:szCs w:val="24"/>
        </w:rPr>
        <w:t>》和有关法律法规、廉洁从业的相关规定，经甲乙双方协商一致，自愿签订本协议。甲乙双方一致确认，本协议效力及于乙方与甲方的所有业务往来关系的全过程，包括但不限于招投标、商务谈判等采购环节及合同签订、履行环节等。</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第一条 甲乙双方责任</w:t>
      </w:r>
    </w:p>
    <w:p>
      <w:pPr>
        <w:pStyle w:val="27"/>
        <w:numPr>
          <w:ilvl w:val="0"/>
          <w:numId w:val="39"/>
        </w:numPr>
        <w:spacing w:line="560" w:lineRule="exact"/>
        <w:ind w:left="0" w:firstLine="480"/>
        <w:rPr>
          <w:rFonts w:ascii="仿宋" w:hAnsi="仿宋" w:eastAsia="仿宋"/>
          <w:sz w:val="24"/>
          <w:szCs w:val="24"/>
        </w:rPr>
      </w:pPr>
      <w:r>
        <w:rPr>
          <w:rFonts w:hint="eastAsia" w:ascii="仿宋" w:hAnsi="仿宋" w:eastAsia="仿宋"/>
          <w:sz w:val="24"/>
          <w:szCs w:val="24"/>
        </w:rPr>
        <w:t>严格遵守国家法律法规和廉洁从业规定以及相关行业行风建设的纪律和规定。</w:t>
      </w:r>
    </w:p>
    <w:p>
      <w:pPr>
        <w:pStyle w:val="27"/>
        <w:numPr>
          <w:ilvl w:val="0"/>
          <w:numId w:val="39"/>
        </w:numPr>
        <w:spacing w:line="560" w:lineRule="exact"/>
        <w:ind w:left="0" w:firstLine="480"/>
        <w:rPr>
          <w:rFonts w:ascii="仿宋" w:hAnsi="仿宋" w:eastAsia="仿宋"/>
          <w:sz w:val="24"/>
          <w:szCs w:val="24"/>
        </w:rPr>
      </w:pPr>
      <w:r>
        <w:rPr>
          <w:rFonts w:hint="eastAsia" w:ascii="仿宋" w:hAnsi="仿宋" w:eastAsia="仿宋"/>
          <w:sz w:val="24"/>
          <w:szCs w:val="24"/>
        </w:rPr>
        <w:t>严格执行合同，自觉按合同办事。</w:t>
      </w:r>
    </w:p>
    <w:p>
      <w:pPr>
        <w:pStyle w:val="27"/>
        <w:numPr>
          <w:ilvl w:val="0"/>
          <w:numId w:val="39"/>
        </w:numPr>
        <w:spacing w:line="560" w:lineRule="exact"/>
        <w:ind w:left="0" w:firstLine="480"/>
        <w:rPr>
          <w:rFonts w:ascii="仿宋" w:hAnsi="仿宋" w:eastAsia="仿宋"/>
          <w:sz w:val="24"/>
          <w:szCs w:val="24"/>
        </w:rPr>
      </w:pPr>
      <w:r>
        <w:rPr>
          <w:rFonts w:hint="eastAsia" w:ascii="仿宋" w:hAnsi="仿宋" w:eastAsia="仿宋"/>
          <w:sz w:val="24"/>
          <w:szCs w:val="24"/>
        </w:rPr>
        <w:t>双方的业务活动必须坚持公开、公平、公正、诚信、透明的原则（法律法规另有规定或双方约定除外），不得损害国家和企业利益。</w:t>
      </w:r>
    </w:p>
    <w:p>
      <w:pPr>
        <w:pStyle w:val="27"/>
        <w:numPr>
          <w:ilvl w:val="0"/>
          <w:numId w:val="39"/>
        </w:numPr>
        <w:spacing w:line="560" w:lineRule="exact"/>
        <w:ind w:left="0" w:firstLine="480"/>
        <w:rPr>
          <w:rFonts w:ascii="仿宋" w:hAnsi="仿宋" w:eastAsia="仿宋"/>
          <w:sz w:val="24"/>
          <w:szCs w:val="24"/>
        </w:rPr>
      </w:pPr>
      <w:r>
        <w:rPr>
          <w:rFonts w:hint="eastAsia" w:ascii="仿宋" w:hAnsi="仿宋" w:eastAsia="仿宋"/>
          <w:sz w:val="24"/>
          <w:szCs w:val="24"/>
        </w:rPr>
        <w:t>发现对方在业务活动中有违反廉洁从业规定或本协议约定的行为，应及时提醒和纠正对方。</w:t>
      </w:r>
    </w:p>
    <w:p>
      <w:pPr>
        <w:pStyle w:val="27"/>
        <w:numPr>
          <w:ilvl w:val="0"/>
          <w:numId w:val="39"/>
        </w:numPr>
        <w:spacing w:line="560" w:lineRule="exact"/>
        <w:ind w:left="0" w:firstLine="480"/>
        <w:rPr>
          <w:rFonts w:ascii="仿宋" w:hAnsi="仿宋" w:eastAsia="仿宋"/>
          <w:sz w:val="24"/>
          <w:szCs w:val="24"/>
        </w:rPr>
      </w:pPr>
      <w:r>
        <w:rPr>
          <w:rFonts w:hint="eastAsia" w:ascii="仿宋" w:hAnsi="仿宋" w:eastAsia="仿宋"/>
          <w:sz w:val="24"/>
          <w:szCs w:val="24"/>
        </w:rPr>
        <w:t>发现对方在业务活动中有严重违反廉洁从业规定的行为，有权向对方主管部门或有关部门举报。</w:t>
      </w:r>
    </w:p>
    <w:p>
      <w:pPr>
        <w:spacing w:line="560" w:lineRule="exact"/>
        <w:ind w:firstLine="560"/>
        <w:rPr>
          <w:rFonts w:ascii="仿宋" w:hAnsi="仿宋" w:eastAsia="仿宋"/>
          <w:sz w:val="24"/>
          <w:szCs w:val="24"/>
        </w:rPr>
      </w:pPr>
      <w:r>
        <w:rPr>
          <w:rFonts w:hint="eastAsia" w:ascii="仿宋" w:hAnsi="仿宋" w:eastAsia="仿宋"/>
          <w:sz w:val="24"/>
          <w:szCs w:val="24"/>
        </w:rPr>
        <w:t>第二条 甲方应遵守下列条款</w:t>
      </w:r>
    </w:p>
    <w:p>
      <w:pPr>
        <w:pStyle w:val="27"/>
        <w:numPr>
          <w:ilvl w:val="0"/>
          <w:numId w:val="40"/>
        </w:numPr>
        <w:spacing w:line="560" w:lineRule="exact"/>
        <w:ind w:left="0" w:firstLine="480"/>
        <w:rPr>
          <w:rFonts w:ascii="仿宋" w:hAnsi="仿宋" w:eastAsia="仿宋"/>
          <w:sz w:val="24"/>
          <w:szCs w:val="24"/>
        </w:rPr>
      </w:pPr>
      <w:r>
        <w:rPr>
          <w:rFonts w:hint="eastAsia" w:ascii="仿宋" w:hAnsi="仿宋" w:eastAsia="仿宋"/>
          <w:sz w:val="24"/>
          <w:szCs w:val="24"/>
        </w:rPr>
        <w:t>甲方、甲方工作人员及其亲属不得以暗示或任何形式向乙方索要或收受回扣、提成、现金、有价证券、支付凭证和贵重礼品等财物。</w:t>
      </w:r>
    </w:p>
    <w:p>
      <w:pPr>
        <w:pStyle w:val="27"/>
        <w:numPr>
          <w:ilvl w:val="0"/>
          <w:numId w:val="40"/>
        </w:numPr>
        <w:spacing w:line="560" w:lineRule="exact"/>
        <w:ind w:left="0" w:firstLine="480"/>
        <w:rPr>
          <w:rFonts w:ascii="仿宋" w:hAnsi="仿宋" w:eastAsia="仿宋"/>
          <w:sz w:val="24"/>
          <w:szCs w:val="24"/>
        </w:rPr>
      </w:pPr>
      <w:r>
        <w:rPr>
          <w:rFonts w:hint="eastAsia" w:ascii="仿宋" w:hAnsi="仿宋" w:eastAsia="仿宋"/>
          <w:sz w:val="24"/>
          <w:szCs w:val="24"/>
        </w:rPr>
        <w:t>甲方及其工作人员不得参加乙方安排的宴请（工作餐除外）、娱乐活动、高档消费；不得接受乙方向甲方及其工作人员提供的通信工具、交通工具和高档办公用品等物品。</w:t>
      </w:r>
    </w:p>
    <w:p>
      <w:pPr>
        <w:pStyle w:val="27"/>
        <w:numPr>
          <w:ilvl w:val="0"/>
          <w:numId w:val="40"/>
        </w:numPr>
        <w:spacing w:line="560" w:lineRule="exact"/>
        <w:ind w:left="0" w:firstLine="480"/>
        <w:rPr>
          <w:rFonts w:ascii="仿宋" w:hAnsi="仿宋" w:eastAsia="仿宋"/>
          <w:sz w:val="24"/>
          <w:szCs w:val="24"/>
        </w:rPr>
      </w:pPr>
      <w:r>
        <w:rPr>
          <w:rFonts w:hint="eastAsia" w:ascii="仿宋" w:hAnsi="仿宋" w:eastAsia="仿宋"/>
          <w:sz w:val="24"/>
          <w:szCs w:val="24"/>
        </w:rPr>
        <w:t>甲方及其工作人员不得以任何理由要求、暗示或接受乙方和相关单位为其在度假、出国（出境）旅游、婚丧嫁娶、住房装修、配偶子女等亲属工作安排等方面提供方便。</w:t>
      </w:r>
    </w:p>
    <w:p>
      <w:pPr>
        <w:pStyle w:val="27"/>
        <w:numPr>
          <w:ilvl w:val="0"/>
          <w:numId w:val="40"/>
        </w:numPr>
        <w:spacing w:line="560" w:lineRule="exact"/>
        <w:ind w:left="0" w:firstLine="480"/>
        <w:rPr>
          <w:rFonts w:ascii="仿宋" w:hAnsi="仿宋" w:eastAsia="仿宋"/>
          <w:sz w:val="24"/>
          <w:szCs w:val="24"/>
        </w:rPr>
      </w:pPr>
      <w:r>
        <w:rPr>
          <w:rFonts w:hint="eastAsia" w:ascii="仿宋" w:hAnsi="仿宋" w:eastAsia="仿宋"/>
          <w:sz w:val="24"/>
          <w:szCs w:val="24"/>
        </w:rPr>
        <w:t>甲方工作人员不得在乙方报销应由甲方或个人支付的任何费用。</w:t>
      </w:r>
    </w:p>
    <w:p>
      <w:pPr>
        <w:pStyle w:val="27"/>
        <w:numPr>
          <w:ilvl w:val="0"/>
          <w:numId w:val="40"/>
        </w:numPr>
        <w:spacing w:line="560" w:lineRule="exact"/>
        <w:ind w:left="0" w:firstLine="480"/>
        <w:rPr>
          <w:rFonts w:ascii="仿宋" w:hAnsi="仿宋" w:eastAsia="仿宋"/>
          <w:sz w:val="24"/>
          <w:szCs w:val="24"/>
        </w:rPr>
      </w:pPr>
      <w:r>
        <w:rPr>
          <w:rFonts w:hint="eastAsia" w:ascii="仿宋" w:hAnsi="仿宋" w:eastAsia="仿宋"/>
          <w:sz w:val="24"/>
          <w:szCs w:val="24"/>
        </w:rPr>
        <w:t>甲方工作人员及其配偶、子女及其他特定关系人不得以个人借用（包含甲方借给乙方或乙方借给甲方）等名义与乙方或乙方工作人员发生现金、房屋、交通工具和贵重物品往来。</w:t>
      </w:r>
    </w:p>
    <w:p>
      <w:pPr>
        <w:pStyle w:val="27"/>
        <w:numPr>
          <w:ilvl w:val="0"/>
          <w:numId w:val="40"/>
        </w:numPr>
        <w:spacing w:line="560" w:lineRule="exact"/>
        <w:ind w:left="0" w:firstLine="480"/>
        <w:rPr>
          <w:rFonts w:ascii="仿宋" w:hAnsi="仿宋" w:eastAsia="仿宋"/>
          <w:sz w:val="24"/>
          <w:szCs w:val="24"/>
        </w:rPr>
      </w:pPr>
      <w:r>
        <w:rPr>
          <w:rFonts w:hint="eastAsia" w:ascii="仿宋" w:hAnsi="仿宋" w:eastAsia="仿宋"/>
          <w:sz w:val="24"/>
          <w:szCs w:val="24"/>
        </w:rPr>
        <w:t>如果乙方向甲方工作人员提供第三条第（一）至（五）款所指的内容，甲方工作人员应拒绝对方；对于无法拒绝的，应及时向甲方纪检监察部门举报。</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第三条 乙方应遵守下列条款</w:t>
      </w:r>
    </w:p>
    <w:p>
      <w:pPr>
        <w:pStyle w:val="27"/>
        <w:numPr>
          <w:ilvl w:val="0"/>
          <w:numId w:val="41"/>
        </w:numPr>
        <w:spacing w:line="560" w:lineRule="exact"/>
        <w:ind w:left="0" w:firstLine="480"/>
        <w:rPr>
          <w:rFonts w:ascii="仿宋" w:hAnsi="仿宋" w:eastAsia="仿宋"/>
          <w:sz w:val="24"/>
          <w:szCs w:val="24"/>
        </w:rPr>
      </w:pPr>
      <w:r>
        <w:rPr>
          <w:rFonts w:hint="eastAsia" w:ascii="仿宋" w:hAnsi="仿宋" w:eastAsia="仿宋"/>
          <w:sz w:val="24"/>
          <w:szCs w:val="24"/>
        </w:rPr>
        <w:t>乙方不得以任何形式向甲方及其工作人员馈赠现金、有价证券、支付凭证和贵重礼品等财物。</w:t>
      </w:r>
    </w:p>
    <w:p>
      <w:pPr>
        <w:pStyle w:val="27"/>
        <w:numPr>
          <w:ilvl w:val="0"/>
          <w:numId w:val="41"/>
        </w:numPr>
        <w:spacing w:line="560" w:lineRule="exact"/>
        <w:ind w:left="0" w:firstLine="480"/>
        <w:rPr>
          <w:rFonts w:ascii="仿宋" w:hAnsi="仿宋" w:eastAsia="仿宋"/>
          <w:sz w:val="24"/>
          <w:szCs w:val="24"/>
        </w:rPr>
      </w:pPr>
      <w:r>
        <w:rPr>
          <w:rFonts w:hint="eastAsia" w:ascii="仿宋" w:hAnsi="仿宋" w:eastAsia="仿宋"/>
          <w:sz w:val="24"/>
          <w:szCs w:val="24"/>
        </w:rPr>
        <w:t>乙方不得以任何理由邀请甲方工作人员参加有可能影响业务活动的宴请及娱乐活动；不得为甲方及其工作人员提供的通信工具、交通工具和高档办公用品等物品。</w:t>
      </w:r>
    </w:p>
    <w:p>
      <w:pPr>
        <w:pStyle w:val="27"/>
        <w:numPr>
          <w:ilvl w:val="0"/>
          <w:numId w:val="41"/>
        </w:numPr>
        <w:spacing w:line="560" w:lineRule="exact"/>
        <w:ind w:left="0" w:firstLine="480"/>
        <w:rPr>
          <w:rFonts w:ascii="仿宋" w:hAnsi="仿宋" w:eastAsia="仿宋"/>
          <w:sz w:val="24"/>
          <w:szCs w:val="24"/>
        </w:rPr>
      </w:pPr>
      <w:r>
        <w:rPr>
          <w:rFonts w:hint="eastAsia" w:ascii="仿宋" w:hAnsi="仿宋" w:eastAsia="仿宋"/>
          <w:sz w:val="24"/>
          <w:szCs w:val="24"/>
        </w:rPr>
        <w:t>乙方不得为甲方工作人员在度假、出国（出境）旅游、婚丧嫁娶、住房装修、配偶子女等亲属工作安排等方面提供方便。</w:t>
      </w:r>
    </w:p>
    <w:p>
      <w:pPr>
        <w:pStyle w:val="27"/>
        <w:numPr>
          <w:ilvl w:val="0"/>
          <w:numId w:val="41"/>
        </w:numPr>
        <w:spacing w:line="560" w:lineRule="exact"/>
        <w:ind w:left="0" w:firstLine="480"/>
        <w:rPr>
          <w:rFonts w:ascii="仿宋" w:hAnsi="仿宋" w:eastAsia="仿宋"/>
          <w:sz w:val="24"/>
          <w:szCs w:val="24"/>
        </w:rPr>
      </w:pPr>
      <w:r>
        <w:rPr>
          <w:rFonts w:hint="eastAsia" w:ascii="仿宋" w:hAnsi="仿宋" w:eastAsia="仿宋"/>
          <w:sz w:val="24"/>
          <w:szCs w:val="24"/>
        </w:rPr>
        <w:t>乙方不得以任何名义为甲方工作人员及其亲属支付应由个人支付的各种费用。</w:t>
      </w:r>
    </w:p>
    <w:p>
      <w:pPr>
        <w:pStyle w:val="27"/>
        <w:numPr>
          <w:ilvl w:val="0"/>
          <w:numId w:val="41"/>
        </w:numPr>
        <w:spacing w:line="560" w:lineRule="exact"/>
        <w:ind w:left="0" w:firstLine="480"/>
        <w:rPr>
          <w:rFonts w:ascii="仿宋" w:hAnsi="仿宋" w:eastAsia="仿宋"/>
          <w:sz w:val="24"/>
          <w:szCs w:val="24"/>
        </w:rPr>
      </w:pPr>
      <w:r>
        <w:rPr>
          <w:rFonts w:hint="eastAsia" w:ascii="仿宋" w:hAnsi="仿宋" w:eastAsia="仿宋"/>
          <w:sz w:val="24"/>
          <w:szCs w:val="24"/>
        </w:rPr>
        <w:t>乙方或乙方工作人员不得以借用（包含甲方借给乙方或乙方借给甲方）等名义与甲方工作人员及其配偶、子女及其他特定关系人发生现金、房屋、交通工具和贵重物品往来。</w:t>
      </w:r>
    </w:p>
    <w:p>
      <w:pPr>
        <w:pStyle w:val="27"/>
        <w:numPr>
          <w:ilvl w:val="0"/>
          <w:numId w:val="41"/>
        </w:numPr>
        <w:spacing w:line="560" w:lineRule="exact"/>
        <w:ind w:left="0" w:firstLine="480"/>
        <w:rPr>
          <w:rFonts w:ascii="仿宋" w:hAnsi="仿宋" w:eastAsia="仿宋"/>
          <w:sz w:val="24"/>
          <w:szCs w:val="24"/>
        </w:rPr>
      </w:pPr>
      <w:r>
        <w:rPr>
          <w:rFonts w:hint="eastAsia" w:ascii="仿宋" w:hAnsi="仿宋" w:eastAsia="仿宋"/>
          <w:sz w:val="24"/>
          <w:szCs w:val="24"/>
        </w:rPr>
        <w:t>甲方工作人员主动向乙方索要或要求乙方安排和提供第三条(一)至(五)款所指的内容，乙方应予以拒绝，并向甲方纪检监察部门及时举报。</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第四条 违约责任</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 xml:space="preserve">甲乙双方工作人员如违反本协议，按照管理权限，依据有关法律法规和相关规定给予党纪、政纪处分或组织处理；涉嫌犯罪的，移交司法机关追究刑事责任；给对方单位造成经济损失的，应予以赔偿。                                           </w:t>
      </w:r>
    </w:p>
    <w:p>
      <w:pPr>
        <w:spacing w:line="560" w:lineRule="exact"/>
        <w:ind w:firstLine="560"/>
        <w:rPr>
          <w:rFonts w:ascii="仿宋" w:hAnsi="仿宋" w:eastAsia="仿宋"/>
          <w:sz w:val="24"/>
          <w:szCs w:val="24"/>
        </w:rPr>
      </w:pPr>
      <w:r>
        <w:rPr>
          <w:rFonts w:hint="eastAsia" w:ascii="仿宋" w:hAnsi="仿宋" w:eastAsia="仿宋"/>
          <w:sz w:val="24"/>
          <w:szCs w:val="24"/>
        </w:rPr>
        <w:t>第五条 如甲乙双方有违反国家法律法规和廉洁从业规定的其他行为，参照本协议约定执行。</w:t>
      </w:r>
    </w:p>
    <w:p>
      <w:pPr>
        <w:pStyle w:val="27"/>
        <w:spacing w:line="560" w:lineRule="exact"/>
        <w:ind w:firstLine="480"/>
        <w:rPr>
          <w:rFonts w:ascii="仿宋" w:hAnsi="仿宋" w:eastAsia="仿宋"/>
          <w:sz w:val="24"/>
          <w:szCs w:val="24"/>
        </w:rPr>
      </w:pPr>
      <w:r>
        <w:rPr>
          <w:rFonts w:hint="eastAsia" w:ascii="仿宋" w:hAnsi="仿宋" w:eastAsia="仿宋"/>
          <w:sz w:val="24"/>
          <w:szCs w:val="24"/>
        </w:rPr>
        <w:t xml:space="preserve">第六条 </w:t>
      </w:r>
      <w:r>
        <w:rPr>
          <w:rFonts w:ascii="仿宋" w:hAnsi="仿宋" w:eastAsia="仿宋"/>
          <w:sz w:val="24"/>
          <w:szCs w:val="24"/>
        </w:rPr>
        <w:t>本协议</w:t>
      </w:r>
      <w:r>
        <w:rPr>
          <w:rFonts w:hint="eastAsia" w:ascii="仿宋" w:hAnsi="仿宋" w:eastAsia="仿宋"/>
          <w:sz w:val="24"/>
          <w:szCs w:val="24"/>
        </w:rPr>
        <w:t>作为合同的附件，经双方签字、盖章</w:t>
      </w:r>
      <w:r>
        <w:rPr>
          <w:rFonts w:ascii="仿宋" w:hAnsi="仿宋" w:eastAsia="仿宋"/>
          <w:sz w:val="24"/>
          <w:szCs w:val="24"/>
        </w:rPr>
        <w:t>后生效</w:t>
      </w:r>
      <w:r>
        <w:rPr>
          <w:rFonts w:hint="eastAsia" w:ascii="仿宋" w:hAnsi="仿宋" w:eastAsia="仿宋"/>
          <w:sz w:val="24"/>
          <w:szCs w:val="24"/>
        </w:rPr>
        <w:t>，一式陆份，甲方执肆份，乙方执贰份，</w:t>
      </w:r>
      <w:r>
        <w:rPr>
          <w:rFonts w:ascii="仿宋" w:hAnsi="仿宋" w:eastAsia="仿宋"/>
          <w:sz w:val="24"/>
          <w:szCs w:val="24"/>
        </w:rPr>
        <w:t>具</w:t>
      </w:r>
      <w:r>
        <w:rPr>
          <w:rFonts w:hint="eastAsia" w:ascii="仿宋" w:hAnsi="仿宋" w:eastAsia="仿宋"/>
          <w:sz w:val="24"/>
          <w:szCs w:val="24"/>
        </w:rPr>
        <w:t>有</w:t>
      </w:r>
      <w:r>
        <w:rPr>
          <w:rFonts w:ascii="仿宋" w:hAnsi="仿宋" w:eastAsia="仿宋"/>
          <w:sz w:val="24"/>
          <w:szCs w:val="24"/>
        </w:rPr>
        <w:t>同等法律效力。</w:t>
      </w:r>
    </w:p>
    <w:p>
      <w:pPr>
        <w:spacing w:line="560" w:lineRule="exact"/>
        <w:ind w:firstLine="560"/>
        <w:rPr>
          <w:rFonts w:ascii="仿宋" w:hAnsi="仿宋" w:eastAsia="仿宋"/>
          <w:sz w:val="24"/>
          <w:szCs w:val="24"/>
        </w:rPr>
      </w:pPr>
    </w:p>
    <w:p>
      <w:pPr>
        <w:spacing w:line="520" w:lineRule="exact"/>
        <w:ind w:firstLine="560"/>
        <w:rPr>
          <w:rFonts w:ascii="仿宋" w:hAnsi="仿宋" w:eastAsia="仿宋"/>
          <w:sz w:val="24"/>
          <w:szCs w:val="24"/>
        </w:rPr>
      </w:pPr>
    </w:p>
    <w:p>
      <w:pPr>
        <w:ind w:right="17" w:rightChars="8"/>
        <w:rPr>
          <w:rFonts w:ascii="仿宋" w:hAnsi="仿宋" w:eastAsia="仿宋"/>
          <w:sz w:val="24"/>
          <w:szCs w:val="24"/>
        </w:rPr>
      </w:pPr>
      <w:r>
        <w:rPr>
          <w:rFonts w:ascii="仿宋" w:hAnsi="仿宋" w:eastAsia="仿宋"/>
          <w:sz w:val="24"/>
          <w:szCs w:val="24"/>
        </w:rPr>
        <w:t>甲 方( 盖 章 ) ：</w:t>
      </w:r>
      <w:r>
        <w:rPr>
          <w:rFonts w:hint="eastAsia" w:ascii="仿宋" w:hAnsi="仿宋" w:eastAsia="仿宋"/>
          <w:sz w:val="24"/>
          <w:szCs w:val="24"/>
        </w:rPr>
        <w:t xml:space="preserve">                        </w:t>
      </w:r>
      <w:r>
        <w:rPr>
          <w:rFonts w:ascii="仿宋" w:hAnsi="仿宋" w:eastAsia="仿宋"/>
          <w:sz w:val="24"/>
          <w:szCs w:val="24"/>
        </w:rPr>
        <w:t>乙 方( 盖 章 ) ：</w:t>
      </w:r>
    </w:p>
    <w:p>
      <w:pPr>
        <w:spacing w:line="480" w:lineRule="auto"/>
        <w:ind w:right="17" w:rightChars="8"/>
        <w:rPr>
          <w:rFonts w:ascii="仿宋" w:hAnsi="仿宋" w:eastAsia="仿宋"/>
          <w:sz w:val="24"/>
          <w:szCs w:val="24"/>
        </w:rPr>
      </w:pPr>
      <w:r>
        <w:rPr>
          <w:rFonts w:ascii="仿宋" w:hAnsi="仿宋" w:eastAsia="仿宋"/>
          <w:sz w:val="24"/>
          <w:szCs w:val="24"/>
        </w:rPr>
        <w:t xml:space="preserve">            </w:t>
      </w:r>
    </w:p>
    <w:p>
      <w:pPr>
        <w:spacing w:line="480" w:lineRule="auto"/>
        <w:ind w:right="17" w:rightChars="8"/>
        <w:rPr>
          <w:rFonts w:ascii="仿宋" w:hAnsi="仿宋" w:eastAsia="仿宋"/>
          <w:sz w:val="24"/>
          <w:szCs w:val="24"/>
        </w:rPr>
      </w:pPr>
      <w:r>
        <w:rPr>
          <w:rFonts w:hint="eastAsia" w:ascii="仿宋" w:hAnsi="仿宋" w:eastAsia="仿宋" w:cs="仿宋_GB2312"/>
          <w:sz w:val="24"/>
          <w:szCs w:val="24"/>
          <w:shd w:val="clear" w:color="auto" w:fill="FFFFFF"/>
        </w:rPr>
        <w:t>法定代表人（或授权代表）签字：</w:t>
      </w:r>
      <w:r>
        <w:rPr>
          <w:rFonts w:ascii="仿宋" w:hAnsi="仿宋" w:eastAsia="仿宋"/>
          <w:sz w:val="24"/>
          <w:szCs w:val="24"/>
        </w:rPr>
        <w:t xml:space="preserve"> </w:t>
      </w:r>
      <w:r>
        <w:rPr>
          <w:rFonts w:hint="eastAsia" w:ascii="仿宋" w:hAnsi="仿宋" w:eastAsia="仿宋"/>
          <w:sz w:val="24"/>
          <w:szCs w:val="24"/>
        </w:rPr>
        <w:t xml:space="preserve">          </w:t>
      </w:r>
      <w:r>
        <w:rPr>
          <w:rFonts w:hint="eastAsia" w:ascii="仿宋" w:hAnsi="仿宋" w:eastAsia="仿宋" w:cs="仿宋_GB2312"/>
          <w:sz w:val="24"/>
          <w:szCs w:val="24"/>
          <w:shd w:val="clear" w:color="auto" w:fill="FFFFFF"/>
        </w:rPr>
        <w:t>法定代表人（或授权代表）签字：</w:t>
      </w:r>
      <w:r>
        <w:rPr>
          <w:rFonts w:ascii="仿宋" w:hAnsi="仿宋" w:eastAsia="仿宋"/>
          <w:sz w:val="24"/>
          <w:szCs w:val="24"/>
        </w:rPr>
        <w:t xml:space="preserve"> </w:t>
      </w:r>
    </w:p>
    <w:p>
      <w:pPr>
        <w:spacing w:line="480" w:lineRule="auto"/>
        <w:ind w:right="17" w:rightChars="8"/>
        <w:rPr>
          <w:rFonts w:ascii="仿宋" w:hAnsi="仿宋" w:eastAsia="仿宋"/>
          <w:sz w:val="24"/>
          <w:szCs w:val="24"/>
        </w:rPr>
      </w:pPr>
      <w:r>
        <w:rPr>
          <w:rFonts w:ascii="仿宋" w:hAnsi="仿宋" w:eastAsia="仿宋"/>
          <w:sz w:val="24"/>
          <w:szCs w:val="24"/>
        </w:rPr>
        <w:t>日期：</w:t>
      </w:r>
      <w:r>
        <w:rPr>
          <w:rFonts w:hint="eastAsia" w:ascii="仿宋" w:hAnsi="仿宋" w:eastAsia="仿宋"/>
          <w:sz w:val="24"/>
          <w:szCs w:val="24"/>
        </w:rPr>
        <w:t xml:space="preserve">    年   月   日</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日期：</w:t>
      </w:r>
      <w:r>
        <w:rPr>
          <w:rFonts w:hint="eastAsia" w:ascii="仿宋" w:hAnsi="仿宋" w:eastAsia="仿宋"/>
          <w:sz w:val="24"/>
          <w:szCs w:val="24"/>
        </w:rPr>
        <w:t xml:space="preserve">    年   月   日</w:t>
      </w:r>
    </w:p>
    <w:p>
      <w:pPr>
        <w:widowControl/>
        <w:ind w:firstLine="642"/>
        <w:jc w:val="left"/>
        <w:rPr>
          <w:rFonts w:ascii="仿宋" w:hAnsi="仿宋" w:eastAsia="仿宋"/>
          <w:b/>
          <w:spacing w:val="20"/>
          <w:sz w:val="28"/>
          <w:szCs w:val="28"/>
        </w:rPr>
      </w:pPr>
      <w:r>
        <w:rPr>
          <w:rFonts w:ascii="仿宋" w:hAnsi="仿宋" w:eastAsia="仿宋"/>
          <w:b/>
          <w:spacing w:val="20"/>
          <w:sz w:val="28"/>
          <w:szCs w:val="28"/>
        </w:rPr>
        <w:br w:type="page"/>
      </w:r>
    </w:p>
    <w:p>
      <w:pPr>
        <w:widowControl/>
        <w:jc w:val="left"/>
        <w:rPr>
          <w:rFonts w:ascii="仿宋" w:hAnsi="仿宋" w:eastAsia="仿宋"/>
          <w:b/>
          <w:spacing w:val="20"/>
          <w:sz w:val="28"/>
          <w:szCs w:val="28"/>
        </w:rPr>
      </w:pPr>
      <w:r>
        <w:rPr>
          <w:rFonts w:hint="eastAsia" w:ascii="仿宋" w:hAnsi="仿宋" w:eastAsia="仿宋"/>
          <w:b/>
          <w:spacing w:val="20"/>
          <w:sz w:val="28"/>
          <w:szCs w:val="28"/>
        </w:rPr>
        <w:t>附件2:</w:t>
      </w:r>
    </w:p>
    <w:p>
      <w:pPr>
        <w:jc w:val="center"/>
        <w:rPr>
          <w:rFonts w:ascii="黑体" w:hAnsi="黑体" w:eastAsia="黑体"/>
          <w:sz w:val="44"/>
          <w:szCs w:val="44"/>
        </w:rPr>
      </w:pPr>
      <w:r>
        <w:rPr>
          <w:rFonts w:hint="eastAsia" w:ascii="黑体" w:hAnsi="黑体" w:eastAsia="黑体"/>
          <w:sz w:val="44"/>
          <w:szCs w:val="44"/>
        </w:rPr>
        <w:t>安全管理协议书</w:t>
      </w:r>
    </w:p>
    <w:p>
      <w:pPr>
        <w:spacing w:line="360" w:lineRule="auto"/>
        <w:ind w:firstLine="480"/>
        <w:rPr>
          <w:rFonts w:ascii="仿宋" w:hAnsi="仿宋" w:eastAsia="仿宋"/>
          <w:sz w:val="24"/>
          <w:szCs w:val="24"/>
        </w:rPr>
      </w:pPr>
    </w:p>
    <w:p>
      <w:pPr>
        <w:spacing w:line="560" w:lineRule="exact"/>
        <w:rPr>
          <w:rFonts w:ascii="仿宋" w:hAnsi="仿宋" w:eastAsia="仿宋"/>
          <w:sz w:val="24"/>
          <w:szCs w:val="24"/>
        </w:rPr>
      </w:pPr>
      <w:r>
        <w:rPr>
          <w:rFonts w:hint="eastAsia" w:ascii="仿宋" w:hAnsi="仿宋" w:eastAsia="仿宋"/>
          <w:sz w:val="24"/>
          <w:szCs w:val="24"/>
        </w:rPr>
        <w:t>甲方:广州市城投资产经营管理有限公司珠江新城分公司</w:t>
      </w:r>
    </w:p>
    <w:p>
      <w:pPr>
        <w:spacing w:line="560" w:lineRule="exact"/>
        <w:rPr>
          <w:rFonts w:ascii="仿宋" w:hAnsi="仿宋" w:eastAsia="仿宋"/>
          <w:sz w:val="24"/>
          <w:szCs w:val="24"/>
          <w:u w:val="single"/>
        </w:rPr>
      </w:pPr>
      <w:r>
        <w:rPr>
          <w:rFonts w:hint="eastAsia" w:ascii="仿宋" w:hAnsi="仿宋" w:eastAsia="仿宋"/>
          <w:sz w:val="24"/>
          <w:szCs w:val="24"/>
        </w:rPr>
        <w:t>乙方:</w:t>
      </w:r>
    </w:p>
    <w:p>
      <w:pPr>
        <w:spacing w:line="560" w:lineRule="exact"/>
        <w:ind w:firstLine="480"/>
        <w:rPr>
          <w:rFonts w:ascii="仿宋" w:hAnsi="仿宋" w:eastAsia="仿宋"/>
          <w:sz w:val="24"/>
          <w:szCs w:val="24"/>
        </w:rPr>
      </w:pPr>
      <w:r>
        <w:rPr>
          <w:rFonts w:hint="eastAsia" w:ascii="仿宋" w:hAnsi="仿宋" w:eastAsia="仿宋"/>
          <w:sz w:val="24"/>
          <w:szCs w:val="24"/>
        </w:rPr>
        <w:t>甲乙双方本着优势互补、互惠互利、协调促进、共谋发展的原则，进一步加强协调，激活机制，务求实效，协助甲方将安全管理工作提高到一个新的水平;切实落实安全生产的责任，确保人员在承包过程中的安全，依据《中华人民共和国安全生产法》、《中华人民共和国消防法》及有关法律、法规，遵循平等、公平和诚实信用的原则，双方就安全管理协商达成一致，订立本协议：</w:t>
      </w:r>
    </w:p>
    <w:p>
      <w:pPr>
        <w:pStyle w:val="27"/>
        <w:numPr>
          <w:ilvl w:val="0"/>
          <w:numId w:val="42"/>
        </w:numPr>
        <w:spacing w:line="560" w:lineRule="exact"/>
        <w:ind w:left="0" w:firstLine="482"/>
        <w:rPr>
          <w:rFonts w:ascii="仿宋" w:hAnsi="仿宋" w:eastAsia="仿宋"/>
          <w:b/>
          <w:sz w:val="24"/>
          <w:szCs w:val="24"/>
        </w:rPr>
      </w:pPr>
      <w:r>
        <w:rPr>
          <w:rFonts w:hint="eastAsia" w:ascii="仿宋" w:hAnsi="仿宋" w:eastAsia="仿宋"/>
          <w:b/>
          <w:sz w:val="24"/>
          <w:szCs w:val="24"/>
        </w:rPr>
        <w:t>责任范围</w:t>
      </w:r>
    </w:p>
    <w:p>
      <w:pPr>
        <w:spacing w:line="560" w:lineRule="exact"/>
        <w:ind w:firstLine="480"/>
        <w:rPr>
          <w:rFonts w:ascii="仿宋" w:hAnsi="仿宋" w:eastAsia="仿宋"/>
          <w:sz w:val="24"/>
          <w:szCs w:val="24"/>
        </w:rPr>
      </w:pPr>
      <w:r>
        <w:rPr>
          <w:rFonts w:hint="eastAsia" w:ascii="仿宋" w:hAnsi="仿宋" w:eastAsia="仿宋"/>
          <w:sz w:val="24"/>
          <w:szCs w:val="24"/>
        </w:rPr>
        <w:t>乙方所承包</w:t>
      </w:r>
      <w:r>
        <w:rPr>
          <w:rFonts w:hint="eastAsia" w:ascii="仿宋" w:hAnsi="仿宋" w:eastAsia="仿宋"/>
          <w:color w:val="auto"/>
          <w:sz w:val="24"/>
          <w:szCs w:val="24"/>
        </w:rPr>
        <w:t>的</w:t>
      </w:r>
      <w:r>
        <w:rPr>
          <w:rFonts w:hint="eastAsia" w:ascii="仿宋" w:hAnsi="仿宋" w:eastAsia="仿宋"/>
          <w:color w:val="auto"/>
          <w:sz w:val="24"/>
          <w:szCs w:val="24"/>
          <w:u w:val="single"/>
        </w:rPr>
        <w:t>花城汇商业区LED屏2023年度维修保养服务采购项目</w:t>
      </w:r>
      <w:r>
        <w:rPr>
          <w:rFonts w:hint="eastAsia" w:ascii="仿宋" w:hAnsi="仿宋" w:eastAsia="仿宋"/>
          <w:color w:val="auto"/>
          <w:sz w:val="24"/>
          <w:szCs w:val="24"/>
        </w:rPr>
        <w:t>承</w:t>
      </w:r>
      <w:r>
        <w:rPr>
          <w:rFonts w:hint="eastAsia" w:ascii="仿宋" w:hAnsi="仿宋" w:eastAsia="仿宋"/>
          <w:sz w:val="24"/>
          <w:szCs w:val="24"/>
        </w:rPr>
        <w:t>包过程中的人身、设备的安全。</w:t>
      </w:r>
    </w:p>
    <w:p>
      <w:pPr>
        <w:pStyle w:val="27"/>
        <w:numPr>
          <w:ilvl w:val="0"/>
          <w:numId w:val="42"/>
        </w:numPr>
        <w:spacing w:line="560" w:lineRule="exact"/>
        <w:ind w:left="0" w:firstLine="482"/>
        <w:rPr>
          <w:rFonts w:ascii="仿宋" w:hAnsi="仿宋" w:eastAsia="仿宋"/>
          <w:b/>
          <w:sz w:val="24"/>
          <w:szCs w:val="24"/>
        </w:rPr>
      </w:pPr>
      <w:r>
        <w:rPr>
          <w:rFonts w:hint="eastAsia" w:ascii="仿宋" w:hAnsi="仿宋" w:eastAsia="仿宋"/>
          <w:b/>
          <w:sz w:val="24"/>
          <w:szCs w:val="24"/>
        </w:rPr>
        <w:t>乙方安全的职责</w:t>
      </w:r>
    </w:p>
    <w:p>
      <w:pPr>
        <w:pStyle w:val="27"/>
        <w:numPr>
          <w:ilvl w:val="0"/>
          <w:numId w:val="43"/>
        </w:numPr>
        <w:spacing w:line="560" w:lineRule="exact"/>
        <w:ind w:left="0" w:firstLine="480"/>
        <w:rPr>
          <w:rFonts w:ascii="仿宋" w:hAnsi="仿宋" w:eastAsia="仿宋"/>
          <w:sz w:val="24"/>
          <w:szCs w:val="24"/>
        </w:rPr>
      </w:pPr>
      <w:r>
        <w:rPr>
          <w:rFonts w:hint="eastAsia" w:ascii="仿宋" w:hAnsi="仿宋" w:eastAsia="仿宋"/>
          <w:sz w:val="24"/>
          <w:szCs w:val="24"/>
        </w:rPr>
        <w:t>乙方应贯彻“安全第一、预防为主”的安全管理工作方针。乙方对所承包项目的安全生产管理全面负责，负责建立、健全本项目安全管理责任;制定安全管理制度和操作规程，督促、检查本项目的安全管理工作，及时消除安全事故隐患;组织制定本项目的安全事故应急救援预案并演练，对其所派人员进行安全教育，使其自觉遵守各项安全管理规定，确保安全开展工作，一旦发生安全事故应及时、如实报告甲方及有关部门。</w:t>
      </w:r>
    </w:p>
    <w:p>
      <w:pPr>
        <w:pStyle w:val="27"/>
        <w:numPr>
          <w:ilvl w:val="0"/>
          <w:numId w:val="43"/>
        </w:numPr>
        <w:spacing w:line="560" w:lineRule="exact"/>
        <w:ind w:left="0" w:firstLine="480"/>
        <w:rPr>
          <w:rFonts w:ascii="仿宋" w:hAnsi="仿宋" w:eastAsia="仿宋"/>
          <w:sz w:val="24"/>
          <w:szCs w:val="24"/>
        </w:rPr>
      </w:pPr>
      <w:r>
        <w:rPr>
          <w:rFonts w:hint="eastAsia" w:ascii="仿宋" w:hAnsi="仿宋" w:eastAsia="仿宋"/>
          <w:sz w:val="24"/>
          <w:szCs w:val="24"/>
        </w:rPr>
        <w:t>遵守国家相关安全生产法律法规的要求，严格执行甲方在安全生产管理体系文件中的各项要求，对曾经是否有过违反安全生产法律法规要给甲方以明确说明。</w:t>
      </w:r>
    </w:p>
    <w:p>
      <w:pPr>
        <w:pStyle w:val="27"/>
        <w:numPr>
          <w:ilvl w:val="0"/>
          <w:numId w:val="43"/>
        </w:numPr>
        <w:spacing w:line="560" w:lineRule="exact"/>
        <w:ind w:left="0" w:firstLine="480"/>
        <w:rPr>
          <w:rFonts w:ascii="仿宋" w:hAnsi="仿宋" w:eastAsia="仿宋"/>
          <w:sz w:val="24"/>
          <w:szCs w:val="24"/>
        </w:rPr>
      </w:pPr>
      <w:r>
        <w:rPr>
          <w:rFonts w:hint="eastAsia" w:ascii="仿宋" w:hAnsi="仿宋" w:eastAsia="仿宋"/>
          <w:sz w:val="24"/>
          <w:szCs w:val="24"/>
        </w:rPr>
        <w:t>认真贯彻国家、地方及上级有关安全生产的方针、政策，严格执行安全生产的法律法规、规定、标准。建立健全安全生产责任制度和安全生产教育培训制度，制定安全生产规章制度和操作规程，保证本单位安全生产条件所需资金的投入和有效使用。</w:t>
      </w:r>
    </w:p>
    <w:p>
      <w:pPr>
        <w:pStyle w:val="27"/>
        <w:numPr>
          <w:ilvl w:val="0"/>
          <w:numId w:val="43"/>
        </w:numPr>
        <w:spacing w:line="560" w:lineRule="exact"/>
        <w:ind w:left="0" w:firstLine="480"/>
        <w:rPr>
          <w:rFonts w:ascii="仿宋" w:hAnsi="仿宋" w:eastAsia="仿宋"/>
          <w:sz w:val="24"/>
          <w:szCs w:val="24"/>
        </w:rPr>
      </w:pPr>
      <w:r>
        <w:rPr>
          <w:rFonts w:hint="eastAsia" w:ascii="仿宋" w:hAnsi="仿宋" w:eastAsia="仿宋"/>
          <w:sz w:val="24"/>
          <w:szCs w:val="24"/>
        </w:rPr>
        <w:t>对从业人员进行安全生产、消防安全教育培训。</w:t>
      </w:r>
    </w:p>
    <w:p>
      <w:pPr>
        <w:pStyle w:val="27"/>
        <w:numPr>
          <w:ilvl w:val="0"/>
          <w:numId w:val="43"/>
        </w:numPr>
        <w:spacing w:line="560" w:lineRule="exact"/>
        <w:ind w:left="0" w:firstLine="480"/>
        <w:rPr>
          <w:rFonts w:ascii="仿宋" w:hAnsi="仿宋" w:eastAsia="仿宋"/>
          <w:sz w:val="24"/>
          <w:szCs w:val="24"/>
        </w:rPr>
      </w:pPr>
      <w:r>
        <w:rPr>
          <w:rFonts w:hint="eastAsia" w:ascii="仿宋" w:hAnsi="仿宋" w:eastAsia="仿宋"/>
          <w:sz w:val="24"/>
          <w:szCs w:val="24"/>
        </w:rPr>
        <w:t>严禁违章指挥，及时制止违章作业和违反劳动纪律的行为。</w:t>
      </w:r>
    </w:p>
    <w:p>
      <w:pPr>
        <w:pStyle w:val="27"/>
        <w:numPr>
          <w:ilvl w:val="0"/>
          <w:numId w:val="43"/>
        </w:numPr>
        <w:spacing w:line="560" w:lineRule="exact"/>
        <w:ind w:left="0" w:firstLine="480"/>
        <w:rPr>
          <w:rFonts w:ascii="仿宋" w:hAnsi="仿宋" w:eastAsia="仿宋"/>
          <w:sz w:val="24"/>
          <w:szCs w:val="24"/>
        </w:rPr>
      </w:pPr>
      <w:r>
        <w:rPr>
          <w:rFonts w:hint="eastAsia" w:ascii="仿宋" w:hAnsi="仿宋" w:eastAsia="仿宋"/>
          <w:sz w:val="24"/>
          <w:szCs w:val="24"/>
        </w:rPr>
        <w:t>发生事故，应当迅速采取有效措施，组织抢救伤者、保护好现场，并立即向上级有关部门报告。</w:t>
      </w:r>
    </w:p>
    <w:p>
      <w:pPr>
        <w:pStyle w:val="27"/>
        <w:numPr>
          <w:ilvl w:val="0"/>
          <w:numId w:val="43"/>
        </w:numPr>
        <w:spacing w:line="560" w:lineRule="exact"/>
        <w:ind w:left="0" w:firstLine="480"/>
        <w:jc w:val="left"/>
        <w:rPr>
          <w:rFonts w:ascii="仿宋" w:hAnsi="仿宋" w:eastAsia="仿宋"/>
          <w:sz w:val="24"/>
          <w:szCs w:val="24"/>
        </w:rPr>
      </w:pPr>
      <w:r>
        <w:rPr>
          <w:rFonts w:hint="eastAsia" w:ascii="仿宋" w:hAnsi="仿宋" w:eastAsia="仿宋"/>
          <w:sz w:val="24"/>
          <w:szCs w:val="24"/>
        </w:rPr>
        <w:t>所有相关方车辆应作好维修保养以控制减少废气和噪音的产生，进入方甲方所辖物业装卸货物的过程中请主动关闭引擎，严禁鸣笛，尽可能减少废气和噪音的排放，降低对环境的污染。</w:t>
      </w:r>
    </w:p>
    <w:p>
      <w:pPr>
        <w:pStyle w:val="27"/>
        <w:numPr>
          <w:ilvl w:val="0"/>
          <w:numId w:val="43"/>
        </w:numPr>
        <w:spacing w:line="560" w:lineRule="exact"/>
        <w:ind w:left="0" w:firstLine="480"/>
        <w:jc w:val="left"/>
        <w:rPr>
          <w:rFonts w:ascii="仿宋" w:hAnsi="仿宋" w:eastAsia="仿宋"/>
          <w:sz w:val="24"/>
          <w:szCs w:val="24"/>
        </w:rPr>
      </w:pPr>
      <w:r>
        <w:rPr>
          <w:rFonts w:hint="eastAsia" w:ascii="仿宋" w:hAnsi="仿宋" w:eastAsia="仿宋"/>
          <w:sz w:val="24"/>
          <w:szCs w:val="24"/>
        </w:rPr>
        <w:t>加强对危险作业控制，采取一切必要措施保护工作人员及其他人员的安全。必要时配备防护用品，提供警示标识等，进行危险作业前需向甲方履行相关手续。</w:t>
      </w:r>
    </w:p>
    <w:p>
      <w:pPr>
        <w:pStyle w:val="27"/>
        <w:numPr>
          <w:ilvl w:val="0"/>
          <w:numId w:val="43"/>
        </w:numPr>
        <w:spacing w:line="560" w:lineRule="exact"/>
        <w:ind w:left="0" w:firstLine="480"/>
        <w:jc w:val="left"/>
        <w:rPr>
          <w:rFonts w:ascii="仿宋" w:hAnsi="仿宋" w:eastAsia="仿宋"/>
          <w:sz w:val="24"/>
          <w:szCs w:val="24"/>
        </w:rPr>
      </w:pPr>
      <w:r>
        <w:rPr>
          <w:rFonts w:hint="eastAsia" w:ascii="仿宋" w:hAnsi="仿宋" w:eastAsia="仿宋"/>
          <w:sz w:val="24"/>
          <w:szCs w:val="24"/>
        </w:rPr>
        <w:t>努力配合甲方开展安全管理工作，在实施开展的过程中，各相关方有责任协同甲方人员开展安全管理控制，对甲方在安全管理方面上的要求，依据各相关方自身条件努力配合。在人员教育方面，努力提高员工安全意识。</w:t>
      </w:r>
    </w:p>
    <w:p>
      <w:pPr>
        <w:pStyle w:val="27"/>
        <w:numPr>
          <w:ilvl w:val="0"/>
          <w:numId w:val="42"/>
        </w:numPr>
        <w:spacing w:line="560" w:lineRule="exact"/>
        <w:ind w:firstLineChars="0"/>
        <w:rPr>
          <w:rFonts w:ascii="仿宋" w:hAnsi="仿宋" w:eastAsia="仿宋"/>
          <w:b/>
          <w:sz w:val="24"/>
          <w:szCs w:val="24"/>
        </w:rPr>
      </w:pPr>
      <w:r>
        <w:rPr>
          <w:rFonts w:hint="eastAsia" w:ascii="仿宋" w:hAnsi="仿宋" w:eastAsia="仿宋"/>
          <w:b/>
          <w:sz w:val="24"/>
          <w:szCs w:val="24"/>
        </w:rPr>
        <w:t>甲方权利义务</w:t>
      </w:r>
    </w:p>
    <w:p>
      <w:pPr>
        <w:pStyle w:val="27"/>
        <w:numPr>
          <w:ilvl w:val="0"/>
          <w:numId w:val="44"/>
        </w:numPr>
        <w:spacing w:line="560" w:lineRule="exact"/>
        <w:ind w:left="0" w:firstLine="480"/>
        <w:jc w:val="left"/>
        <w:rPr>
          <w:rFonts w:ascii="仿宋" w:hAnsi="仿宋" w:eastAsia="仿宋"/>
          <w:sz w:val="24"/>
          <w:szCs w:val="24"/>
        </w:rPr>
      </w:pPr>
      <w:r>
        <w:rPr>
          <w:rFonts w:hint="eastAsia" w:ascii="仿宋" w:hAnsi="仿宋" w:eastAsia="仿宋"/>
          <w:sz w:val="24"/>
          <w:szCs w:val="24"/>
        </w:rPr>
        <w:t>负责在乙方承包期间进行定期或不定期的安全监督检查。</w:t>
      </w:r>
    </w:p>
    <w:p>
      <w:pPr>
        <w:pStyle w:val="27"/>
        <w:numPr>
          <w:ilvl w:val="0"/>
          <w:numId w:val="44"/>
        </w:numPr>
        <w:spacing w:line="560" w:lineRule="exact"/>
        <w:ind w:left="0" w:firstLine="480"/>
        <w:jc w:val="left"/>
        <w:rPr>
          <w:rFonts w:ascii="仿宋" w:hAnsi="仿宋" w:eastAsia="仿宋"/>
          <w:sz w:val="24"/>
          <w:szCs w:val="24"/>
        </w:rPr>
      </w:pPr>
      <w:r>
        <w:rPr>
          <w:rFonts w:hint="eastAsia" w:ascii="仿宋" w:hAnsi="仿宋" w:eastAsia="仿宋"/>
          <w:sz w:val="24"/>
          <w:szCs w:val="24"/>
        </w:rPr>
        <w:t>向乙方提供本单位的安全生产规章制度，并要求乙方从业人员学习贯彻执行。</w:t>
      </w:r>
    </w:p>
    <w:p>
      <w:pPr>
        <w:pStyle w:val="27"/>
        <w:numPr>
          <w:ilvl w:val="0"/>
          <w:numId w:val="44"/>
        </w:numPr>
        <w:spacing w:line="560" w:lineRule="exact"/>
        <w:ind w:left="0" w:firstLine="480"/>
        <w:jc w:val="left"/>
        <w:rPr>
          <w:rFonts w:ascii="仿宋" w:hAnsi="仿宋" w:eastAsia="仿宋"/>
          <w:sz w:val="24"/>
          <w:szCs w:val="24"/>
        </w:rPr>
      </w:pPr>
      <w:r>
        <w:rPr>
          <w:rFonts w:hint="eastAsia" w:ascii="仿宋" w:hAnsi="仿宋" w:eastAsia="仿宋"/>
          <w:sz w:val="24"/>
          <w:szCs w:val="24"/>
        </w:rPr>
        <w:t>负责对乙方采购的安全、消防用具的材质、使用情况进行监督。</w:t>
      </w:r>
    </w:p>
    <w:p>
      <w:pPr>
        <w:pStyle w:val="27"/>
        <w:numPr>
          <w:ilvl w:val="0"/>
          <w:numId w:val="44"/>
        </w:numPr>
        <w:spacing w:line="560" w:lineRule="exact"/>
        <w:ind w:left="0" w:firstLine="480"/>
        <w:jc w:val="left"/>
        <w:rPr>
          <w:rFonts w:ascii="仿宋" w:hAnsi="仿宋" w:eastAsia="仿宋"/>
          <w:sz w:val="24"/>
          <w:szCs w:val="24"/>
        </w:rPr>
      </w:pPr>
      <w:r>
        <w:rPr>
          <w:rFonts w:hint="eastAsia" w:ascii="仿宋" w:hAnsi="仿宋" w:eastAsia="仿宋"/>
          <w:sz w:val="24"/>
          <w:szCs w:val="24"/>
        </w:rPr>
        <w:t>对乙方自带的不符合安全要求的设备、工具、安全用具、安全防护用具，有权禁止乙方使用。</w:t>
      </w:r>
    </w:p>
    <w:p>
      <w:pPr>
        <w:pStyle w:val="27"/>
        <w:numPr>
          <w:ilvl w:val="0"/>
          <w:numId w:val="44"/>
        </w:numPr>
        <w:spacing w:line="560" w:lineRule="exact"/>
        <w:ind w:left="0" w:firstLine="480"/>
        <w:jc w:val="left"/>
        <w:rPr>
          <w:rFonts w:ascii="仿宋" w:hAnsi="仿宋" w:eastAsia="仿宋"/>
          <w:sz w:val="24"/>
          <w:szCs w:val="24"/>
        </w:rPr>
      </w:pPr>
      <w:r>
        <w:rPr>
          <w:rFonts w:hint="eastAsia" w:ascii="仿宋" w:hAnsi="仿宋" w:eastAsia="仿宋"/>
          <w:sz w:val="24"/>
          <w:szCs w:val="24"/>
        </w:rPr>
        <w:t>对违反安全生产标准和规章制度的行为进行纠正，必要时要求乙方整改，如乙方不按期整改的，每次扣除合同总金额的5‰。</w:t>
      </w:r>
    </w:p>
    <w:p>
      <w:pPr>
        <w:pStyle w:val="27"/>
        <w:numPr>
          <w:ilvl w:val="0"/>
          <w:numId w:val="44"/>
        </w:numPr>
        <w:spacing w:line="560" w:lineRule="exact"/>
        <w:ind w:left="0" w:firstLine="480"/>
        <w:rPr>
          <w:rFonts w:ascii="仿宋" w:hAnsi="仿宋" w:eastAsia="仿宋"/>
          <w:sz w:val="24"/>
          <w:szCs w:val="24"/>
        </w:rPr>
      </w:pPr>
      <w:r>
        <w:rPr>
          <w:rFonts w:hint="eastAsia" w:ascii="仿宋" w:hAnsi="仿宋" w:eastAsia="仿宋"/>
          <w:sz w:val="24"/>
          <w:szCs w:val="24"/>
        </w:rPr>
        <w:t>按照规定，负责督促承包单位为从业人员办理工伤保险。</w:t>
      </w:r>
    </w:p>
    <w:p>
      <w:pPr>
        <w:pStyle w:val="27"/>
        <w:numPr>
          <w:ilvl w:val="0"/>
          <w:numId w:val="44"/>
        </w:numPr>
        <w:spacing w:line="560" w:lineRule="exact"/>
        <w:ind w:left="0" w:firstLine="480"/>
        <w:rPr>
          <w:rFonts w:ascii="仿宋" w:hAnsi="仿宋" w:eastAsia="仿宋"/>
          <w:sz w:val="24"/>
          <w:szCs w:val="24"/>
        </w:rPr>
      </w:pPr>
      <w:r>
        <w:rPr>
          <w:rFonts w:hint="eastAsia" w:ascii="仿宋" w:hAnsi="仿宋" w:eastAsia="仿宋"/>
          <w:sz w:val="24"/>
          <w:szCs w:val="24"/>
        </w:rPr>
        <w:t>负责提供、完善相关消防安全防护设施，并对乙方的位用和维护情况进行监督检查。</w:t>
      </w:r>
    </w:p>
    <w:p>
      <w:pPr>
        <w:pStyle w:val="27"/>
        <w:numPr>
          <w:ilvl w:val="0"/>
          <w:numId w:val="44"/>
        </w:numPr>
        <w:spacing w:line="560" w:lineRule="exact"/>
        <w:ind w:left="0" w:firstLine="480"/>
        <w:rPr>
          <w:rFonts w:ascii="仿宋" w:hAnsi="仿宋" w:eastAsia="仿宋"/>
          <w:sz w:val="24"/>
          <w:szCs w:val="24"/>
        </w:rPr>
      </w:pPr>
      <w:r>
        <w:rPr>
          <w:rFonts w:hint="eastAsia" w:ascii="仿宋" w:hAnsi="仿宋" w:eastAsia="仿宋"/>
          <w:sz w:val="24"/>
          <w:szCs w:val="24"/>
        </w:rPr>
        <w:t>对乙方承包过程进行监督检查和管理，对违规、违章行为和“三违”现象进行制止，乙方拒不停止前述行为的，每次扣除合同总金额的5‰。</w:t>
      </w:r>
    </w:p>
    <w:p>
      <w:pPr>
        <w:pStyle w:val="27"/>
        <w:numPr>
          <w:ilvl w:val="0"/>
          <w:numId w:val="42"/>
        </w:numPr>
        <w:spacing w:line="560" w:lineRule="exact"/>
        <w:ind w:left="0" w:firstLine="482"/>
        <w:rPr>
          <w:rFonts w:ascii="仿宋" w:hAnsi="仿宋" w:eastAsia="仿宋"/>
          <w:b/>
          <w:sz w:val="24"/>
          <w:szCs w:val="24"/>
        </w:rPr>
      </w:pPr>
      <w:r>
        <w:rPr>
          <w:rFonts w:hint="eastAsia" w:ascii="仿宋" w:hAnsi="仿宋" w:eastAsia="仿宋"/>
          <w:b/>
          <w:sz w:val="24"/>
          <w:szCs w:val="24"/>
        </w:rPr>
        <w:t>乙方权利义务</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1.遵守安全生产有关管理规定，合法经营，并随时接受上级部门、甲方等安全检査人员依法实施的监督检查，消除事故隐患。</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2.由于乙方安全措施不力造成事故的责任和因此而发生的费用，由乙方承担。</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3.乙方应指定安全管理人员，负责日常安全管理事务。</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4.遵守甲方安全生产管理制度和劳动纪律。服从甲方的安全生产管理，不服从管理导致生产安全事故的，由乙方承担主要责任，甲方有权就事故造成的损失，向乙方索赔。</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5.乙方应对本单位内的从业人员进行三级安全培训教育及日常的消防安全培训教育。</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6.保证本单位从业人员具备必要的安全生产知识、熟悉有关的安全生产规章制度和安全操作规程、掌握本岗位的安全操作技能和紧急情况下的应急避险措施，并督促承包人员自觉遵守安全生产的各项规章制度。</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7.应当告知作业人员危险岗位的操作规程和违章操作的危害。</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8.负责为本单位从业人员提供必要的劳动保护用品和劳动防护用品，督促从业人员正确使用劳动防护用品，及时制止违章行为。</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9.接受甲方的安全监督检查，对检査提出的问题和隐息，落实人员及时整改，不得以任何理由拒绝整改或设置障碍。</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10.有权拒绝甲方的违章指挥和强令冒险作业；发现直接危及人身安全的紧急情况时，有权停止作业或者在采取可能的应急措施后撤离作业场所。</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11.不得私自接设临时用电线路，未经允许不得擅自增加电炉等大功率用电设备。</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12.接受甲方对违反安全生产管理规定行为的处理决定，并承担由此产生的责任。</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13.负责为本单位从业人员办理工伤保险、意外伤害保险，支付保险费，如没有购买相关保险从业人员发生安全生产事故的，应承担相应的责任。</w:t>
      </w:r>
    </w:p>
    <w:p>
      <w:pPr>
        <w:spacing w:line="560" w:lineRule="exact"/>
        <w:ind w:firstLine="480" w:firstLineChars="200"/>
        <w:rPr>
          <w:rFonts w:ascii="仿宋" w:hAnsi="仿宋" w:eastAsia="仿宋"/>
          <w:sz w:val="24"/>
          <w:szCs w:val="24"/>
        </w:rPr>
      </w:pPr>
      <w:r>
        <w:rPr>
          <w:rFonts w:hint="eastAsia" w:ascii="仿宋" w:hAnsi="仿宋" w:eastAsia="仿宋"/>
          <w:sz w:val="24"/>
          <w:szCs w:val="24"/>
        </w:rPr>
        <w:t>14.对本单位从业人员所发生的生产安全事故，乙方应立即报告甲方，按照有关规定对事故进行调查处理，并承担相应的民事责任和法律责任。</w:t>
      </w:r>
    </w:p>
    <w:p>
      <w:pPr>
        <w:pStyle w:val="27"/>
        <w:numPr>
          <w:ilvl w:val="0"/>
          <w:numId w:val="42"/>
        </w:numPr>
        <w:spacing w:line="560" w:lineRule="exact"/>
        <w:ind w:left="0" w:firstLine="482"/>
        <w:rPr>
          <w:rFonts w:ascii="仿宋" w:hAnsi="仿宋" w:eastAsia="仿宋"/>
          <w:b/>
          <w:sz w:val="24"/>
          <w:szCs w:val="24"/>
        </w:rPr>
      </w:pPr>
      <w:r>
        <w:rPr>
          <w:rFonts w:hint="eastAsia" w:ascii="仿宋" w:hAnsi="仿宋" w:eastAsia="仿宋"/>
          <w:b/>
          <w:sz w:val="24"/>
          <w:szCs w:val="24"/>
        </w:rPr>
        <w:t>其他</w:t>
      </w:r>
    </w:p>
    <w:p>
      <w:pPr>
        <w:pStyle w:val="27"/>
        <w:numPr>
          <w:ilvl w:val="0"/>
          <w:numId w:val="45"/>
        </w:numPr>
        <w:spacing w:line="560" w:lineRule="exact"/>
        <w:ind w:left="0" w:firstLine="480"/>
        <w:rPr>
          <w:rFonts w:ascii="仿宋" w:hAnsi="仿宋" w:eastAsia="仿宋"/>
          <w:sz w:val="24"/>
          <w:szCs w:val="24"/>
        </w:rPr>
      </w:pPr>
      <w:r>
        <w:rPr>
          <w:rFonts w:ascii="仿宋" w:hAnsi="仿宋" w:eastAsia="仿宋"/>
          <w:sz w:val="24"/>
          <w:szCs w:val="24"/>
        </w:rPr>
        <w:t>本协议书</w:t>
      </w:r>
      <w:r>
        <w:rPr>
          <w:rFonts w:hint="eastAsia" w:ascii="仿宋" w:hAnsi="仿宋" w:eastAsia="仿宋"/>
          <w:sz w:val="24"/>
          <w:szCs w:val="24"/>
        </w:rPr>
        <w:t>作为合同的附件，经双方签字、盖章</w:t>
      </w:r>
      <w:r>
        <w:rPr>
          <w:rFonts w:ascii="仿宋" w:hAnsi="仿宋" w:eastAsia="仿宋"/>
          <w:sz w:val="24"/>
          <w:szCs w:val="24"/>
        </w:rPr>
        <w:t>后生效</w:t>
      </w:r>
      <w:r>
        <w:rPr>
          <w:rFonts w:hint="eastAsia" w:ascii="仿宋" w:hAnsi="仿宋" w:eastAsia="仿宋"/>
          <w:sz w:val="24"/>
          <w:szCs w:val="24"/>
        </w:rPr>
        <w:t>，一式陆份，甲方执肆份，乙方执贰份，</w:t>
      </w:r>
      <w:r>
        <w:rPr>
          <w:rFonts w:ascii="仿宋" w:hAnsi="仿宋" w:eastAsia="仿宋"/>
          <w:sz w:val="24"/>
          <w:szCs w:val="24"/>
        </w:rPr>
        <w:t>具</w:t>
      </w:r>
      <w:r>
        <w:rPr>
          <w:rFonts w:hint="eastAsia" w:ascii="仿宋" w:hAnsi="仿宋" w:eastAsia="仿宋"/>
          <w:sz w:val="24"/>
          <w:szCs w:val="24"/>
        </w:rPr>
        <w:t>有</w:t>
      </w:r>
      <w:r>
        <w:rPr>
          <w:rFonts w:ascii="仿宋" w:hAnsi="仿宋" w:eastAsia="仿宋"/>
          <w:sz w:val="24"/>
          <w:szCs w:val="24"/>
        </w:rPr>
        <w:t>同等法律效力。</w:t>
      </w:r>
    </w:p>
    <w:p>
      <w:pPr>
        <w:ind w:right="17" w:rightChars="8"/>
        <w:rPr>
          <w:rFonts w:ascii="仿宋" w:hAnsi="仿宋" w:eastAsia="仿宋"/>
          <w:sz w:val="24"/>
          <w:szCs w:val="24"/>
        </w:rPr>
      </w:pPr>
    </w:p>
    <w:p>
      <w:pPr>
        <w:ind w:right="17" w:rightChars="8"/>
        <w:rPr>
          <w:rFonts w:ascii="仿宋" w:hAnsi="仿宋" w:eastAsia="仿宋"/>
          <w:sz w:val="24"/>
          <w:szCs w:val="24"/>
        </w:rPr>
      </w:pPr>
    </w:p>
    <w:p>
      <w:pPr>
        <w:ind w:right="17" w:rightChars="8"/>
        <w:rPr>
          <w:rFonts w:ascii="仿宋" w:hAnsi="仿宋" w:eastAsia="仿宋"/>
          <w:sz w:val="24"/>
          <w:szCs w:val="24"/>
        </w:rPr>
      </w:pPr>
    </w:p>
    <w:p>
      <w:pPr>
        <w:ind w:right="17" w:rightChars="8"/>
        <w:rPr>
          <w:rFonts w:ascii="仿宋" w:hAnsi="仿宋" w:eastAsia="仿宋"/>
          <w:sz w:val="24"/>
          <w:szCs w:val="24"/>
        </w:rPr>
      </w:pPr>
      <w:r>
        <w:rPr>
          <w:rFonts w:ascii="仿宋" w:hAnsi="仿宋" w:eastAsia="仿宋"/>
          <w:sz w:val="24"/>
          <w:szCs w:val="24"/>
        </w:rPr>
        <w:t>甲 方( 盖 章 ) ：</w:t>
      </w:r>
      <w:r>
        <w:rPr>
          <w:rFonts w:hint="eastAsia" w:ascii="仿宋" w:hAnsi="仿宋" w:eastAsia="仿宋"/>
          <w:sz w:val="24"/>
          <w:szCs w:val="24"/>
        </w:rPr>
        <w:t xml:space="preserve">                        </w:t>
      </w:r>
      <w:r>
        <w:rPr>
          <w:rFonts w:ascii="仿宋" w:hAnsi="仿宋" w:eastAsia="仿宋"/>
          <w:sz w:val="24"/>
          <w:szCs w:val="24"/>
        </w:rPr>
        <w:t>乙 方( 盖 章 ) ：</w:t>
      </w:r>
    </w:p>
    <w:p>
      <w:pPr>
        <w:spacing w:line="480" w:lineRule="auto"/>
        <w:ind w:right="17" w:rightChars="8"/>
        <w:rPr>
          <w:rFonts w:ascii="仿宋" w:hAnsi="仿宋" w:eastAsia="仿宋"/>
          <w:sz w:val="24"/>
          <w:szCs w:val="24"/>
        </w:rPr>
      </w:pPr>
      <w:r>
        <w:rPr>
          <w:rFonts w:ascii="仿宋" w:hAnsi="仿宋" w:eastAsia="仿宋"/>
          <w:sz w:val="24"/>
          <w:szCs w:val="24"/>
        </w:rPr>
        <w:t xml:space="preserve">            </w:t>
      </w:r>
    </w:p>
    <w:p>
      <w:pPr>
        <w:spacing w:line="480" w:lineRule="auto"/>
        <w:ind w:right="17" w:rightChars="8"/>
        <w:rPr>
          <w:rFonts w:ascii="仿宋" w:hAnsi="仿宋" w:eastAsia="仿宋"/>
          <w:sz w:val="24"/>
          <w:szCs w:val="24"/>
        </w:rPr>
      </w:pPr>
      <w:r>
        <w:rPr>
          <w:rFonts w:hint="eastAsia" w:ascii="仿宋" w:hAnsi="仿宋" w:eastAsia="仿宋" w:cs="仿宋_GB2312"/>
          <w:sz w:val="24"/>
          <w:szCs w:val="24"/>
          <w:shd w:val="clear" w:color="auto" w:fill="FFFFFF"/>
        </w:rPr>
        <w:t>法定代表人（或授权代表）签字：</w:t>
      </w:r>
      <w:r>
        <w:rPr>
          <w:rFonts w:ascii="仿宋" w:hAnsi="仿宋" w:eastAsia="仿宋"/>
          <w:sz w:val="24"/>
          <w:szCs w:val="24"/>
        </w:rPr>
        <w:t xml:space="preserve"> </w:t>
      </w:r>
      <w:r>
        <w:rPr>
          <w:rFonts w:hint="eastAsia" w:ascii="仿宋" w:hAnsi="仿宋" w:eastAsia="仿宋"/>
          <w:sz w:val="24"/>
          <w:szCs w:val="24"/>
        </w:rPr>
        <w:t xml:space="preserve">          </w:t>
      </w:r>
      <w:r>
        <w:rPr>
          <w:rFonts w:hint="eastAsia" w:ascii="仿宋" w:hAnsi="仿宋" w:eastAsia="仿宋" w:cs="仿宋_GB2312"/>
          <w:sz w:val="24"/>
          <w:szCs w:val="24"/>
          <w:shd w:val="clear" w:color="auto" w:fill="FFFFFF"/>
        </w:rPr>
        <w:t>法定代表人（或授权代表）签字：</w:t>
      </w:r>
      <w:r>
        <w:rPr>
          <w:rFonts w:ascii="仿宋" w:hAnsi="仿宋" w:eastAsia="仿宋"/>
          <w:sz w:val="24"/>
          <w:szCs w:val="24"/>
        </w:rPr>
        <w:t xml:space="preserve"> </w:t>
      </w:r>
    </w:p>
    <w:p>
      <w:pPr>
        <w:spacing w:line="480" w:lineRule="auto"/>
        <w:ind w:right="17" w:rightChars="8"/>
        <w:rPr>
          <w:rFonts w:ascii="仿宋" w:hAnsi="仿宋" w:eastAsia="仿宋"/>
          <w:sz w:val="24"/>
          <w:szCs w:val="24"/>
        </w:rPr>
      </w:pPr>
      <w:r>
        <w:rPr>
          <w:rFonts w:ascii="仿宋" w:hAnsi="仿宋" w:eastAsia="仿宋"/>
          <w:sz w:val="24"/>
          <w:szCs w:val="24"/>
        </w:rPr>
        <w:t>日期：</w:t>
      </w:r>
      <w:r>
        <w:rPr>
          <w:rFonts w:hint="eastAsia" w:ascii="仿宋" w:hAnsi="仿宋" w:eastAsia="仿宋"/>
          <w:sz w:val="24"/>
          <w:szCs w:val="24"/>
        </w:rPr>
        <w:t xml:space="preserve">    年   月   日</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日期：</w:t>
      </w:r>
      <w:r>
        <w:rPr>
          <w:rFonts w:hint="eastAsia" w:ascii="仿宋" w:hAnsi="仿宋" w:eastAsia="仿宋"/>
          <w:sz w:val="24"/>
          <w:szCs w:val="24"/>
        </w:rPr>
        <w:t xml:space="preserve">    年   月   日</w:t>
      </w:r>
    </w:p>
    <w:p>
      <w:pPr>
        <w:widowControl/>
        <w:ind w:firstLine="642"/>
        <w:jc w:val="left"/>
        <w:rPr>
          <w:rFonts w:ascii="仿宋" w:hAnsi="仿宋" w:eastAsia="仿宋"/>
          <w:b/>
          <w:spacing w:val="20"/>
          <w:sz w:val="28"/>
          <w:szCs w:val="28"/>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Adobe 楷体 Std R">
    <w:altName w:val="宋体"/>
    <w:panose1 w:val="00000000000000000000"/>
    <w:charset w:val="86"/>
    <w:family w:val="roman"/>
    <w:pitch w:val="default"/>
    <w:sig w:usb0="00000000" w:usb1="0000000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37</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238992"/>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20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37</w:t>
            </w:r>
            <w:r>
              <w:rPr>
                <w:b/>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chineseCountingThousand"/>
      <w:suff w:val="space"/>
      <w:lvlText w:val="第%1条"/>
      <w:lvlJc w:val="left"/>
      <w:pPr>
        <w:ind w:left="1702" w:hanging="114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00000004"/>
    <w:multiLevelType w:val="multilevel"/>
    <w:tmpl w:val="00000004"/>
    <w:lvl w:ilvl="0" w:tentative="0">
      <w:start w:val="1"/>
      <w:numFmt w:val="chineseCountingThousand"/>
      <w:suff w:val="space"/>
      <w:lvlText w:val="(%1)"/>
      <w:lvlJc w:val="left"/>
      <w:pPr>
        <w:ind w:left="1005"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05"/>
    <w:multiLevelType w:val="multilevel"/>
    <w:tmpl w:val="00000005"/>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0000006"/>
    <w:multiLevelType w:val="multilevel"/>
    <w:tmpl w:val="00000006"/>
    <w:lvl w:ilvl="0" w:tentative="0">
      <w:start w:val="1"/>
      <w:numFmt w:val="chineseCountingThousand"/>
      <w:suff w:val="space"/>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0000007"/>
    <w:multiLevelType w:val="multilevel"/>
    <w:tmpl w:val="00000007"/>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8"/>
    <w:multiLevelType w:val="multilevel"/>
    <w:tmpl w:val="00000008"/>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0000009"/>
    <w:multiLevelType w:val="multilevel"/>
    <w:tmpl w:val="00000009"/>
    <w:lvl w:ilvl="0" w:tentative="0">
      <w:start w:val="2"/>
      <w:numFmt w:val="chineseCountingThousand"/>
      <w:suff w:val="nothing"/>
      <w:lvlText w:val="%1、"/>
      <w:lvlJc w:val="left"/>
      <w:pPr>
        <w:ind w:left="10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B"/>
    <w:multiLevelType w:val="singleLevel"/>
    <w:tmpl w:val="0000000B"/>
    <w:lvl w:ilvl="0" w:tentative="0">
      <w:start w:val="1"/>
      <w:numFmt w:val="decimal"/>
      <w:pStyle w:val="34"/>
      <w:lvlText w:val="（%1）"/>
      <w:lvlJc w:val="left"/>
      <w:pPr>
        <w:tabs>
          <w:tab w:val="left" w:pos="1254"/>
        </w:tabs>
        <w:ind w:left="1254" w:hanging="750"/>
      </w:pPr>
      <w:rPr>
        <w:rFonts w:hint="eastAsia"/>
      </w:rPr>
    </w:lvl>
  </w:abstractNum>
  <w:abstractNum w:abstractNumId="8">
    <w:nsid w:val="0000000C"/>
    <w:multiLevelType w:val="multilevel"/>
    <w:tmpl w:val="0000000C"/>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0000000E"/>
    <w:multiLevelType w:val="multilevel"/>
    <w:tmpl w:val="0000000E"/>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0000000F"/>
    <w:multiLevelType w:val="multilevel"/>
    <w:tmpl w:val="0000000F"/>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00000012"/>
    <w:multiLevelType w:val="singleLevel"/>
    <w:tmpl w:val="00000012"/>
    <w:lvl w:ilvl="0" w:tentative="0">
      <w:start w:val="1"/>
      <w:numFmt w:val="decimal"/>
      <w:lvlText w:val="%1."/>
      <w:lvlJc w:val="left"/>
      <w:pPr>
        <w:tabs>
          <w:tab w:val="left" w:pos="425"/>
        </w:tabs>
        <w:ind w:left="425" w:hanging="425"/>
      </w:pPr>
      <w:rPr>
        <w:rFonts w:hint="default"/>
      </w:rPr>
    </w:lvl>
  </w:abstractNum>
  <w:abstractNum w:abstractNumId="12">
    <w:nsid w:val="00000014"/>
    <w:multiLevelType w:val="multilevel"/>
    <w:tmpl w:val="00000014"/>
    <w:lvl w:ilvl="0" w:tentative="0">
      <w:start w:val="1"/>
      <w:numFmt w:val="decimal"/>
      <w:lvlText w:val="%1."/>
      <w:lvlJc w:val="left"/>
      <w:pPr>
        <w:ind w:left="900" w:hanging="420"/>
      </w:pPr>
    </w:lvl>
    <w:lvl w:ilvl="1" w:tentative="0">
      <w:start w:val="2"/>
      <w:numFmt w:val="japaneseCounting"/>
      <w:lvlText w:val="%2、"/>
      <w:lvlJc w:val="left"/>
      <w:pPr>
        <w:ind w:left="1410" w:hanging="510"/>
      </w:pPr>
      <w:rPr>
        <w:rFonts w:hint="default"/>
      </w:rPr>
    </w:lvl>
    <w:lvl w:ilvl="2" w:tentative="0">
      <w:start w:val="1"/>
      <w:numFmt w:val="lowerRoman"/>
      <w:lvlText w:val="%3."/>
      <w:lvlJc w:val="right"/>
      <w:pPr>
        <w:ind w:left="1740" w:hanging="420"/>
      </w:pPr>
    </w:lvl>
    <w:lvl w:ilvl="3" w:tentative="0">
      <w:start w:val="1"/>
      <w:numFmt w:val="decimal"/>
      <w:suff w:val="space"/>
      <w:lvlText w:val="%4."/>
      <w:lvlJc w:val="left"/>
      <w:pPr>
        <w:ind w:left="554" w:hanging="74"/>
      </w:pPr>
      <w:rPr>
        <w:rFonts w:hint="eastAsia"/>
      </w:r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00000015"/>
    <w:multiLevelType w:val="multilevel"/>
    <w:tmpl w:val="00000015"/>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00000017"/>
    <w:multiLevelType w:val="multilevel"/>
    <w:tmpl w:val="00000017"/>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5">
    <w:nsid w:val="00000018"/>
    <w:multiLevelType w:val="multilevel"/>
    <w:tmpl w:val="0000001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00000019"/>
    <w:multiLevelType w:val="multilevel"/>
    <w:tmpl w:val="00000019"/>
    <w:lvl w:ilvl="0" w:tentative="0">
      <w:start w:val="1"/>
      <w:numFmt w:val="decimal"/>
      <w:suff w:val="space"/>
      <w:lvlText w:val="%1."/>
      <w:lvlJc w:val="left"/>
      <w:pPr>
        <w:ind w:left="660" w:hanging="420"/>
      </w:pPr>
      <w:rPr>
        <w:rFonts w:hint="eastAsia"/>
      </w:rPr>
    </w:lvl>
    <w:lvl w:ilvl="1" w:tentative="0">
      <w:start w:val="1"/>
      <w:numFmt w:val="lowerLetter"/>
      <w:lvlText w:val="%2)"/>
      <w:lvlJc w:val="left"/>
      <w:pPr>
        <w:ind w:left="1080" w:hanging="420"/>
      </w:pPr>
      <w:rPr>
        <w:rFonts w:hint="eastAsia"/>
      </w:rPr>
    </w:lvl>
    <w:lvl w:ilvl="2" w:tentative="0">
      <w:start w:val="1"/>
      <w:numFmt w:val="lowerRoman"/>
      <w:lvlText w:val="%3."/>
      <w:lvlJc w:val="right"/>
      <w:pPr>
        <w:ind w:left="1500" w:hanging="420"/>
      </w:pPr>
      <w:rPr>
        <w:rFonts w:hint="eastAsia"/>
      </w:rPr>
    </w:lvl>
    <w:lvl w:ilvl="3" w:tentative="0">
      <w:start w:val="1"/>
      <w:numFmt w:val="decimal"/>
      <w:lvlText w:val="%4."/>
      <w:lvlJc w:val="left"/>
      <w:pPr>
        <w:ind w:left="1920" w:hanging="420"/>
      </w:pPr>
      <w:rPr>
        <w:rFonts w:hint="eastAsia"/>
      </w:rPr>
    </w:lvl>
    <w:lvl w:ilvl="4" w:tentative="0">
      <w:start w:val="1"/>
      <w:numFmt w:val="lowerLetter"/>
      <w:lvlText w:val="%5)"/>
      <w:lvlJc w:val="left"/>
      <w:pPr>
        <w:ind w:left="2340" w:hanging="420"/>
      </w:pPr>
      <w:rPr>
        <w:rFonts w:hint="eastAsia"/>
      </w:rPr>
    </w:lvl>
    <w:lvl w:ilvl="5" w:tentative="0">
      <w:start w:val="1"/>
      <w:numFmt w:val="lowerRoman"/>
      <w:lvlText w:val="%6."/>
      <w:lvlJc w:val="right"/>
      <w:pPr>
        <w:ind w:left="2760" w:hanging="420"/>
      </w:pPr>
      <w:rPr>
        <w:rFonts w:hint="eastAsia"/>
      </w:rPr>
    </w:lvl>
    <w:lvl w:ilvl="6" w:tentative="0">
      <w:start w:val="1"/>
      <w:numFmt w:val="decimal"/>
      <w:lvlText w:val="%7."/>
      <w:lvlJc w:val="left"/>
      <w:pPr>
        <w:ind w:left="3180" w:hanging="420"/>
      </w:pPr>
      <w:rPr>
        <w:rFonts w:hint="eastAsia"/>
      </w:rPr>
    </w:lvl>
    <w:lvl w:ilvl="7" w:tentative="0">
      <w:start w:val="1"/>
      <w:numFmt w:val="lowerLetter"/>
      <w:lvlText w:val="%8)"/>
      <w:lvlJc w:val="left"/>
      <w:pPr>
        <w:ind w:left="3600" w:hanging="420"/>
      </w:pPr>
      <w:rPr>
        <w:rFonts w:hint="eastAsia"/>
      </w:rPr>
    </w:lvl>
    <w:lvl w:ilvl="8" w:tentative="0">
      <w:start w:val="1"/>
      <w:numFmt w:val="lowerRoman"/>
      <w:lvlText w:val="%9."/>
      <w:lvlJc w:val="right"/>
      <w:pPr>
        <w:ind w:left="4020" w:hanging="420"/>
      </w:pPr>
      <w:rPr>
        <w:rFonts w:hint="eastAsia"/>
      </w:rPr>
    </w:lvl>
  </w:abstractNum>
  <w:abstractNum w:abstractNumId="17">
    <w:nsid w:val="0000001A"/>
    <w:multiLevelType w:val="multilevel"/>
    <w:tmpl w:val="0000001A"/>
    <w:lvl w:ilvl="0" w:tentative="0">
      <w:start w:val="1"/>
      <w:numFmt w:val="chineseCountingThousand"/>
      <w:suff w:val="nothing"/>
      <w:lvlText w:val="%1、"/>
      <w:lvlJc w:val="left"/>
      <w:pPr>
        <w:ind w:left="900"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8">
    <w:nsid w:val="0000001B"/>
    <w:multiLevelType w:val="singleLevel"/>
    <w:tmpl w:val="0000001B"/>
    <w:lvl w:ilvl="0" w:tentative="0">
      <w:start w:val="1"/>
      <w:numFmt w:val="decimal"/>
      <w:lvlText w:val="%1."/>
      <w:lvlJc w:val="left"/>
      <w:pPr>
        <w:tabs>
          <w:tab w:val="left" w:pos="425"/>
        </w:tabs>
        <w:ind w:left="425" w:hanging="425"/>
      </w:pPr>
      <w:rPr>
        <w:rFonts w:hint="default"/>
      </w:rPr>
    </w:lvl>
  </w:abstractNum>
  <w:abstractNum w:abstractNumId="19">
    <w:nsid w:val="0000001C"/>
    <w:multiLevelType w:val="multilevel"/>
    <w:tmpl w:val="0000001C"/>
    <w:lvl w:ilvl="0" w:tentative="0">
      <w:start w:val="1"/>
      <w:numFmt w:val="chineseCountingThousand"/>
      <w:suff w:val="nothing"/>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0">
    <w:nsid w:val="0000001D"/>
    <w:multiLevelType w:val="multilevel"/>
    <w:tmpl w:val="0000001D"/>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0000001F"/>
    <w:multiLevelType w:val="multilevel"/>
    <w:tmpl w:val="0000001F"/>
    <w:lvl w:ilvl="0" w:tentative="0">
      <w:start w:val="1"/>
      <w:numFmt w:val="chineseCountingThousand"/>
      <w:suff w:val="space"/>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2">
    <w:nsid w:val="00000020"/>
    <w:multiLevelType w:val="multilevel"/>
    <w:tmpl w:val="00000020"/>
    <w:lvl w:ilvl="0" w:tentative="0">
      <w:start w:val="1"/>
      <w:numFmt w:val="chineseCountingThousand"/>
      <w:suff w:val="space"/>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00000021"/>
    <w:multiLevelType w:val="multilevel"/>
    <w:tmpl w:val="0000002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00000023"/>
    <w:multiLevelType w:val="multilevel"/>
    <w:tmpl w:val="00000023"/>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suff w:val="space"/>
      <w:lvlText w:val="%4."/>
      <w:lvlJc w:val="left"/>
      <w:pPr>
        <w:ind w:left="900" w:hanging="420"/>
      </w:pPr>
      <w:rPr>
        <w:rFonts w:hint="eastAsia"/>
      </w:r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00000024"/>
    <w:multiLevelType w:val="multilevel"/>
    <w:tmpl w:val="00000024"/>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0000026"/>
    <w:multiLevelType w:val="multilevel"/>
    <w:tmpl w:val="00000026"/>
    <w:lvl w:ilvl="0" w:tentative="0">
      <w:start w:val="1"/>
      <w:numFmt w:val="chineseCountingThousand"/>
      <w:suff w:val="space"/>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7">
    <w:nsid w:val="00000027"/>
    <w:multiLevelType w:val="multilevel"/>
    <w:tmpl w:val="0000002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suff w:val="space"/>
      <w:lvlText w:val="%4."/>
      <w:lvlJc w:val="left"/>
      <w:pPr>
        <w:ind w:left="900" w:hanging="420"/>
      </w:pPr>
      <w:rPr>
        <w:rFonts w:hint="eastAsia"/>
      </w:r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094E2E7A"/>
    <w:multiLevelType w:val="multilevel"/>
    <w:tmpl w:val="094E2E7A"/>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9">
    <w:nsid w:val="0E1A3D39"/>
    <w:multiLevelType w:val="multilevel"/>
    <w:tmpl w:val="0E1A3D39"/>
    <w:lvl w:ilvl="0" w:tentative="0">
      <w:start w:val="1"/>
      <w:numFmt w:val="chineseCountingThousand"/>
      <w:suff w:val="space"/>
      <w:lvlText w:val="(%1)"/>
      <w:lvlJc w:val="left"/>
      <w:pPr>
        <w:ind w:left="982"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0">
    <w:nsid w:val="13AC66BB"/>
    <w:multiLevelType w:val="multilevel"/>
    <w:tmpl w:val="13AC66BB"/>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14CA2E5E"/>
    <w:multiLevelType w:val="multilevel"/>
    <w:tmpl w:val="14CA2E5E"/>
    <w:lvl w:ilvl="0" w:tentative="0">
      <w:start w:val="1"/>
      <w:numFmt w:val="decimal"/>
      <w:suff w:val="nothing"/>
      <w:lvlText w:val="%1."/>
      <w:lvlJc w:val="left"/>
      <w:pPr>
        <w:ind w:left="1980" w:hanging="420"/>
      </w:pPr>
      <w:rPr>
        <w:rFonts w:hint="eastAsia"/>
      </w:rPr>
    </w:lvl>
    <w:lvl w:ilvl="1" w:tentative="0">
      <w:start w:val="1"/>
      <w:numFmt w:val="lowerLetter"/>
      <w:lvlText w:val="%2)"/>
      <w:lvlJc w:val="left"/>
      <w:pPr>
        <w:ind w:left="4303" w:hanging="420"/>
      </w:pPr>
    </w:lvl>
    <w:lvl w:ilvl="2" w:tentative="0">
      <w:start w:val="1"/>
      <w:numFmt w:val="lowerRoman"/>
      <w:lvlText w:val="%3."/>
      <w:lvlJc w:val="right"/>
      <w:pPr>
        <w:ind w:left="4723" w:hanging="420"/>
      </w:pPr>
    </w:lvl>
    <w:lvl w:ilvl="3" w:tentative="0">
      <w:start w:val="1"/>
      <w:numFmt w:val="decimal"/>
      <w:lvlText w:val="%4."/>
      <w:lvlJc w:val="left"/>
      <w:pPr>
        <w:ind w:left="5143" w:hanging="420"/>
      </w:pPr>
    </w:lvl>
    <w:lvl w:ilvl="4" w:tentative="0">
      <w:start w:val="1"/>
      <w:numFmt w:val="lowerLetter"/>
      <w:lvlText w:val="%5)"/>
      <w:lvlJc w:val="left"/>
      <w:pPr>
        <w:ind w:left="5563" w:hanging="420"/>
      </w:pPr>
    </w:lvl>
    <w:lvl w:ilvl="5" w:tentative="0">
      <w:start w:val="1"/>
      <w:numFmt w:val="lowerRoman"/>
      <w:lvlText w:val="%6."/>
      <w:lvlJc w:val="right"/>
      <w:pPr>
        <w:ind w:left="5983" w:hanging="420"/>
      </w:pPr>
    </w:lvl>
    <w:lvl w:ilvl="6" w:tentative="0">
      <w:start w:val="1"/>
      <w:numFmt w:val="decimal"/>
      <w:lvlText w:val="%7."/>
      <w:lvlJc w:val="left"/>
      <w:pPr>
        <w:ind w:left="6403" w:hanging="420"/>
      </w:pPr>
    </w:lvl>
    <w:lvl w:ilvl="7" w:tentative="0">
      <w:start w:val="1"/>
      <w:numFmt w:val="lowerLetter"/>
      <w:lvlText w:val="%8)"/>
      <w:lvlJc w:val="left"/>
      <w:pPr>
        <w:ind w:left="6823" w:hanging="420"/>
      </w:pPr>
    </w:lvl>
    <w:lvl w:ilvl="8" w:tentative="0">
      <w:start w:val="1"/>
      <w:numFmt w:val="lowerRoman"/>
      <w:lvlText w:val="%9."/>
      <w:lvlJc w:val="right"/>
      <w:pPr>
        <w:ind w:left="7243" w:hanging="420"/>
      </w:pPr>
    </w:lvl>
  </w:abstractNum>
  <w:abstractNum w:abstractNumId="32">
    <w:nsid w:val="1B961181"/>
    <w:multiLevelType w:val="multilevel"/>
    <w:tmpl w:val="1B961181"/>
    <w:lvl w:ilvl="0" w:tentative="0">
      <w:start w:val="3"/>
      <w:numFmt w:val="decimal"/>
      <w:lvlText w:val="（%1）"/>
      <w:lvlJc w:val="left"/>
      <w:pPr>
        <w:ind w:left="1295" w:hanging="7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3">
    <w:nsid w:val="387A5975"/>
    <w:multiLevelType w:val="multilevel"/>
    <w:tmpl w:val="387A5975"/>
    <w:lvl w:ilvl="0" w:tentative="0">
      <w:start w:val="1"/>
      <w:numFmt w:val="decimal"/>
      <w:suff w:val="nothing"/>
      <w:lvlText w:val="%1."/>
      <w:lvlJc w:val="left"/>
      <w:pPr>
        <w:ind w:left="778"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4">
    <w:nsid w:val="3F8C26F1"/>
    <w:multiLevelType w:val="multilevel"/>
    <w:tmpl w:val="3F8C26F1"/>
    <w:lvl w:ilvl="0" w:tentative="0">
      <w:start w:val="1"/>
      <w:numFmt w:val="decimal"/>
      <w:suff w:val="space"/>
      <w:lvlText w:val="%1."/>
      <w:lvlJc w:val="left"/>
      <w:pPr>
        <w:ind w:left="982"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5">
    <w:nsid w:val="48CC75FB"/>
    <w:multiLevelType w:val="multilevel"/>
    <w:tmpl w:val="48CC75FB"/>
    <w:lvl w:ilvl="0" w:tentative="0">
      <w:start w:val="1"/>
      <w:numFmt w:val="chineseCountingThousand"/>
      <w:suff w:val="space"/>
      <w:lvlText w:val="(%1)"/>
      <w:lvlJc w:val="left"/>
      <w:pPr>
        <w:ind w:left="982"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6">
    <w:nsid w:val="4BB36301"/>
    <w:multiLevelType w:val="multilevel"/>
    <w:tmpl w:val="4BB36301"/>
    <w:lvl w:ilvl="0" w:tentative="0">
      <w:start w:val="1"/>
      <w:numFmt w:val="decimal"/>
      <w:suff w:val="space"/>
      <w:lvlText w:val="%1."/>
      <w:lvlJc w:val="left"/>
      <w:pPr>
        <w:ind w:left="982"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7">
    <w:nsid w:val="4F0B3213"/>
    <w:multiLevelType w:val="multilevel"/>
    <w:tmpl w:val="4F0B3213"/>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8">
    <w:nsid w:val="5ACE6CDE"/>
    <w:multiLevelType w:val="multilevel"/>
    <w:tmpl w:val="5ACE6CDE"/>
    <w:lvl w:ilvl="0" w:tentative="0">
      <w:start w:val="1"/>
      <w:numFmt w:val="chineseCountingThousand"/>
      <w:suff w:val="nothing"/>
      <w:lvlText w:val="%1、"/>
      <w:lvlJc w:val="left"/>
      <w:pPr>
        <w:ind w:left="778" w:hanging="420"/>
      </w:pPr>
      <w:rPr>
        <w:rFonts w:hint="default"/>
      </w:rPr>
    </w:lvl>
    <w:lvl w:ilvl="1" w:tentative="0">
      <w:start w:val="1"/>
      <w:numFmt w:val="lowerLetter"/>
      <w:lvlText w:val="%2)"/>
      <w:lvlJc w:val="left"/>
      <w:pPr>
        <w:ind w:left="1198" w:hanging="420"/>
      </w:pPr>
    </w:lvl>
    <w:lvl w:ilvl="2" w:tentative="0">
      <w:start w:val="1"/>
      <w:numFmt w:val="lowerRoman"/>
      <w:lvlText w:val="%3."/>
      <w:lvlJc w:val="right"/>
      <w:pPr>
        <w:ind w:left="1618" w:hanging="420"/>
      </w:pPr>
    </w:lvl>
    <w:lvl w:ilvl="3" w:tentative="0">
      <w:start w:val="1"/>
      <w:numFmt w:val="decimal"/>
      <w:lvlText w:val="%4."/>
      <w:lvlJc w:val="left"/>
      <w:pPr>
        <w:ind w:left="2038" w:hanging="420"/>
      </w:pPr>
    </w:lvl>
    <w:lvl w:ilvl="4" w:tentative="0">
      <w:start w:val="1"/>
      <w:numFmt w:val="lowerLetter"/>
      <w:lvlText w:val="%5)"/>
      <w:lvlJc w:val="left"/>
      <w:pPr>
        <w:ind w:left="2458" w:hanging="420"/>
      </w:pPr>
    </w:lvl>
    <w:lvl w:ilvl="5" w:tentative="0">
      <w:start w:val="1"/>
      <w:numFmt w:val="lowerRoman"/>
      <w:lvlText w:val="%6."/>
      <w:lvlJc w:val="right"/>
      <w:pPr>
        <w:ind w:left="2878" w:hanging="420"/>
      </w:pPr>
    </w:lvl>
    <w:lvl w:ilvl="6" w:tentative="0">
      <w:start w:val="1"/>
      <w:numFmt w:val="decimal"/>
      <w:lvlText w:val="%7."/>
      <w:lvlJc w:val="left"/>
      <w:pPr>
        <w:ind w:left="3298" w:hanging="420"/>
      </w:pPr>
    </w:lvl>
    <w:lvl w:ilvl="7" w:tentative="0">
      <w:start w:val="1"/>
      <w:numFmt w:val="lowerLetter"/>
      <w:lvlText w:val="%8)"/>
      <w:lvlJc w:val="left"/>
      <w:pPr>
        <w:ind w:left="3718" w:hanging="420"/>
      </w:pPr>
    </w:lvl>
    <w:lvl w:ilvl="8" w:tentative="0">
      <w:start w:val="1"/>
      <w:numFmt w:val="lowerRoman"/>
      <w:lvlText w:val="%9."/>
      <w:lvlJc w:val="right"/>
      <w:pPr>
        <w:ind w:left="4138" w:hanging="420"/>
      </w:pPr>
    </w:lvl>
  </w:abstractNum>
  <w:abstractNum w:abstractNumId="39">
    <w:nsid w:val="727374FE"/>
    <w:multiLevelType w:val="multilevel"/>
    <w:tmpl w:val="727374FE"/>
    <w:lvl w:ilvl="0" w:tentative="0">
      <w:start w:val="1"/>
      <w:numFmt w:val="decimal"/>
      <w:suff w:val="space"/>
      <w:lvlText w:val="%1."/>
      <w:lvlJc w:val="left"/>
      <w:pPr>
        <w:ind w:left="982"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0">
    <w:nsid w:val="755F0F31"/>
    <w:multiLevelType w:val="multilevel"/>
    <w:tmpl w:val="755F0F31"/>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1">
    <w:nsid w:val="762828BD"/>
    <w:multiLevelType w:val="multilevel"/>
    <w:tmpl w:val="762828BD"/>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suff w:val="space"/>
      <w:lvlText w:val="%4."/>
      <w:lvlJc w:val="left"/>
      <w:pPr>
        <w:ind w:left="900" w:hanging="420"/>
      </w:pPr>
      <w:rPr>
        <w:rFonts w:hint="eastAsia"/>
      </w:r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2">
    <w:nsid w:val="79E9326F"/>
    <w:multiLevelType w:val="multilevel"/>
    <w:tmpl w:val="79E9326F"/>
    <w:lvl w:ilvl="0" w:tentative="0">
      <w:start w:val="1"/>
      <w:numFmt w:val="decimal"/>
      <w:suff w:val="space"/>
      <w:lvlText w:val="%1."/>
      <w:lvlJc w:val="left"/>
      <w:pPr>
        <w:ind w:left="1138" w:hanging="360"/>
      </w:pPr>
      <w:rPr>
        <w:rFonts w:hint="default"/>
      </w:rPr>
    </w:lvl>
    <w:lvl w:ilvl="1" w:tentative="0">
      <w:start w:val="1"/>
      <w:numFmt w:val="lowerLetter"/>
      <w:lvlText w:val="%2)"/>
      <w:lvlJc w:val="left"/>
      <w:pPr>
        <w:ind w:left="1618" w:hanging="420"/>
      </w:pPr>
    </w:lvl>
    <w:lvl w:ilvl="2" w:tentative="0">
      <w:start w:val="1"/>
      <w:numFmt w:val="lowerRoman"/>
      <w:lvlText w:val="%3."/>
      <w:lvlJc w:val="right"/>
      <w:pPr>
        <w:ind w:left="2038" w:hanging="420"/>
      </w:pPr>
    </w:lvl>
    <w:lvl w:ilvl="3" w:tentative="0">
      <w:start w:val="1"/>
      <w:numFmt w:val="decimal"/>
      <w:lvlText w:val="%4."/>
      <w:lvlJc w:val="left"/>
      <w:pPr>
        <w:ind w:left="2458" w:hanging="420"/>
      </w:pPr>
    </w:lvl>
    <w:lvl w:ilvl="4" w:tentative="0">
      <w:start w:val="1"/>
      <w:numFmt w:val="lowerLetter"/>
      <w:lvlText w:val="%5)"/>
      <w:lvlJc w:val="left"/>
      <w:pPr>
        <w:ind w:left="2878" w:hanging="420"/>
      </w:pPr>
    </w:lvl>
    <w:lvl w:ilvl="5" w:tentative="0">
      <w:start w:val="1"/>
      <w:numFmt w:val="lowerRoman"/>
      <w:lvlText w:val="%6."/>
      <w:lvlJc w:val="right"/>
      <w:pPr>
        <w:ind w:left="3298" w:hanging="420"/>
      </w:pPr>
    </w:lvl>
    <w:lvl w:ilvl="6" w:tentative="0">
      <w:start w:val="1"/>
      <w:numFmt w:val="decimal"/>
      <w:lvlText w:val="%7."/>
      <w:lvlJc w:val="left"/>
      <w:pPr>
        <w:ind w:left="3718" w:hanging="420"/>
      </w:pPr>
    </w:lvl>
    <w:lvl w:ilvl="7" w:tentative="0">
      <w:start w:val="1"/>
      <w:numFmt w:val="lowerLetter"/>
      <w:lvlText w:val="%8)"/>
      <w:lvlJc w:val="left"/>
      <w:pPr>
        <w:ind w:left="4138" w:hanging="420"/>
      </w:pPr>
    </w:lvl>
    <w:lvl w:ilvl="8" w:tentative="0">
      <w:start w:val="1"/>
      <w:numFmt w:val="lowerRoman"/>
      <w:lvlText w:val="%9."/>
      <w:lvlJc w:val="right"/>
      <w:pPr>
        <w:ind w:left="4558" w:hanging="420"/>
      </w:pPr>
    </w:lvl>
  </w:abstractNum>
  <w:abstractNum w:abstractNumId="43">
    <w:nsid w:val="7AB70A2F"/>
    <w:multiLevelType w:val="multilevel"/>
    <w:tmpl w:val="7AB70A2F"/>
    <w:lvl w:ilvl="0" w:tentative="0">
      <w:start w:val="1"/>
      <w:numFmt w:val="decimal"/>
      <w:suff w:val="space"/>
      <w:lvlText w:val="%1."/>
      <w:lvlJc w:val="left"/>
      <w:pPr>
        <w:ind w:left="982"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4">
    <w:nsid w:val="7D200639"/>
    <w:multiLevelType w:val="multilevel"/>
    <w:tmpl w:val="7D200639"/>
    <w:lvl w:ilvl="0" w:tentative="0">
      <w:start w:val="1"/>
      <w:numFmt w:val="chineseCountingThousand"/>
      <w:suff w:val="space"/>
      <w:lvlText w:val="(%1)"/>
      <w:lvlJc w:val="left"/>
      <w:pPr>
        <w:ind w:left="982"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num w:numId="1">
    <w:abstractNumId w:val="7"/>
  </w:num>
  <w:num w:numId="2">
    <w:abstractNumId w:val="19"/>
  </w:num>
  <w:num w:numId="3">
    <w:abstractNumId w:val="3"/>
  </w:num>
  <w:num w:numId="4">
    <w:abstractNumId w:val="8"/>
  </w:num>
  <w:num w:numId="5">
    <w:abstractNumId w:val="23"/>
  </w:num>
  <w:num w:numId="6">
    <w:abstractNumId w:val="13"/>
  </w:num>
  <w:num w:numId="7">
    <w:abstractNumId w:val="6"/>
  </w:num>
  <w:num w:numId="8">
    <w:abstractNumId w:val="1"/>
  </w:num>
  <w:num w:numId="9">
    <w:abstractNumId w:val="24"/>
  </w:num>
  <w:num w:numId="10">
    <w:abstractNumId w:val="10"/>
  </w:num>
  <w:num w:numId="11">
    <w:abstractNumId w:val="22"/>
  </w:num>
  <w:num w:numId="12">
    <w:abstractNumId w:val="12"/>
  </w:num>
  <w:num w:numId="13">
    <w:abstractNumId w:val="16"/>
  </w:num>
  <w:num w:numId="14">
    <w:abstractNumId w:val="26"/>
  </w:num>
  <w:num w:numId="15">
    <w:abstractNumId w:val="14"/>
  </w:num>
  <w:num w:numId="16">
    <w:abstractNumId w:val="17"/>
  </w:num>
  <w:num w:numId="17">
    <w:abstractNumId w:val="4"/>
  </w:num>
  <w:num w:numId="18">
    <w:abstractNumId w:val="25"/>
  </w:num>
  <w:num w:numId="19">
    <w:abstractNumId w:val="21"/>
  </w:num>
  <w:num w:numId="20">
    <w:abstractNumId w:val="18"/>
  </w:num>
  <w:num w:numId="21">
    <w:abstractNumId w:val="11"/>
  </w:num>
  <w:num w:numId="22">
    <w:abstractNumId w:val="15"/>
  </w:num>
  <w:num w:numId="23">
    <w:abstractNumId w:val="9"/>
  </w:num>
  <w:num w:numId="24">
    <w:abstractNumId w:val="27"/>
  </w:num>
  <w:num w:numId="25">
    <w:abstractNumId w:val="20"/>
  </w:num>
  <w:num w:numId="26">
    <w:abstractNumId w:val="2"/>
  </w:num>
  <w:num w:numId="27">
    <w:abstractNumId w:val="5"/>
  </w:num>
  <w:num w:numId="28">
    <w:abstractNumId w:val="0"/>
  </w:num>
  <w:num w:numId="29">
    <w:abstractNumId w:val="40"/>
  </w:num>
  <w:num w:numId="30">
    <w:abstractNumId w:val="32"/>
  </w:num>
  <w:num w:numId="31">
    <w:abstractNumId w:val="37"/>
  </w:num>
  <w:num w:numId="32">
    <w:abstractNumId w:val="41"/>
  </w:num>
  <w:num w:numId="33">
    <w:abstractNumId w:val="30"/>
  </w:num>
  <w:num w:numId="34">
    <w:abstractNumId w:val="28"/>
  </w:num>
  <w:num w:numId="35">
    <w:abstractNumId w:val="43"/>
  </w:num>
  <w:num w:numId="36">
    <w:abstractNumId w:val="34"/>
  </w:num>
  <w:num w:numId="37">
    <w:abstractNumId w:val="39"/>
  </w:num>
  <w:num w:numId="38">
    <w:abstractNumId w:val="36"/>
  </w:num>
  <w:num w:numId="39">
    <w:abstractNumId w:val="29"/>
  </w:num>
  <w:num w:numId="40">
    <w:abstractNumId w:val="35"/>
  </w:num>
  <w:num w:numId="41">
    <w:abstractNumId w:val="44"/>
  </w:num>
  <w:num w:numId="42">
    <w:abstractNumId w:val="38"/>
  </w:num>
  <w:num w:numId="43">
    <w:abstractNumId w:val="31"/>
  </w:num>
  <w:num w:numId="44">
    <w:abstractNumId w:val="33"/>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MGY0MWUyMmEzYmRlMzE1YTkyMDdkNWY0YzNjMjkifQ=="/>
  </w:docVars>
  <w:rsids>
    <w:rsidRoot w:val="00E34773"/>
    <w:rsid w:val="000017D6"/>
    <w:rsid w:val="00056F77"/>
    <w:rsid w:val="000654FF"/>
    <w:rsid w:val="000765A7"/>
    <w:rsid w:val="0009495A"/>
    <w:rsid w:val="00096D88"/>
    <w:rsid w:val="000A334F"/>
    <w:rsid w:val="000B18AE"/>
    <w:rsid w:val="000B22B9"/>
    <w:rsid w:val="000E50EA"/>
    <w:rsid w:val="000E5ECD"/>
    <w:rsid w:val="000E6781"/>
    <w:rsid w:val="000F1009"/>
    <w:rsid w:val="001107C6"/>
    <w:rsid w:val="0013168A"/>
    <w:rsid w:val="00173C4C"/>
    <w:rsid w:val="00175979"/>
    <w:rsid w:val="001824BC"/>
    <w:rsid w:val="001A4B36"/>
    <w:rsid w:val="001A7807"/>
    <w:rsid w:val="001B4BDE"/>
    <w:rsid w:val="001D326E"/>
    <w:rsid w:val="001E34F6"/>
    <w:rsid w:val="001E35F0"/>
    <w:rsid w:val="00227C6A"/>
    <w:rsid w:val="002451FF"/>
    <w:rsid w:val="00270D33"/>
    <w:rsid w:val="002B2E2A"/>
    <w:rsid w:val="002B7CBC"/>
    <w:rsid w:val="002C7D4A"/>
    <w:rsid w:val="002E4B6F"/>
    <w:rsid w:val="002E7EC1"/>
    <w:rsid w:val="003050EA"/>
    <w:rsid w:val="003231C0"/>
    <w:rsid w:val="00337D37"/>
    <w:rsid w:val="003527C1"/>
    <w:rsid w:val="00363850"/>
    <w:rsid w:val="00384EFD"/>
    <w:rsid w:val="00397CCB"/>
    <w:rsid w:val="003C2FE2"/>
    <w:rsid w:val="003C79C9"/>
    <w:rsid w:val="003E56BC"/>
    <w:rsid w:val="004576A6"/>
    <w:rsid w:val="00465A30"/>
    <w:rsid w:val="0047738D"/>
    <w:rsid w:val="0048381C"/>
    <w:rsid w:val="004A72CC"/>
    <w:rsid w:val="004B16AD"/>
    <w:rsid w:val="004B42BC"/>
    <w:rsid w:val="004C4017"/>
    <w:rsid w:val="004E2154"/>
    <w:rsid w:val="004F56B3"/>
    <w:rsid w:val="00505E17"/>
    <w:rsid w:val="005545AA"/>
    <w:rsid w:val="005B1E92"/>
    <w:rsid w:val="005B58A6"/>
    <w:rsid w:val="005C5757"/>
    <w:rsid w:val="005E7D27"/>
    <w:rsid w:val="005F57FE"/>
    <w:rsid w:val="00615557"/>
    <w:rsid w:val="00630539"/>
    <w:rsid w:val="0063132C"/>
    <w:rsid w:val="00634FD1"/>
    <w:rsid w:val="00635491"/>
    <w:rsid w:val="00637880"/>
    <w:rsid w:val="00650807"/>
    <w:rsid w:val="00653CE3"/>
    <w:rsid w:val="006600A9"/>
    <w:rsid w:val="00697D3F"/>
    <w:rsid w:val="006A58F3"/>
    <w:rsid w:val="006B0C33"/>
    <w:rsid w:val="006C30B7"/>
    <w:rsid w:val="006D7115"/>
    <w:rsid w:val="006E2B32"/>
    <w:rsid w:val="006E3DF4"/>
    <w:rsid w:val="006F26E6"/>
    <w:rsid w:val="007061F7"/>
    <w:rsid w:val="007143D6"/>
    <w:rsid w:val="00715B8E"/>
    <w:rsid w:val="007171B0"/>
    <w:rsid w:val="00744EEF"/>
    <w:rsid w:val="0075776E"/>
    <w:rsid w:val="007B1ADC"/>
    <w:rsid w:val="007E1601"/>
    <w:rsid w:val="007E19BB"/>
    <w:rsid w:val="0080352C"/>
    <w:rsid w:val="008052AB"/>
    <w:rsid w:val="00826AC2"/>
    <w:rsid w:val="00827D2C"/>
    <w:rsid w:val="00837AAA"/>
    <w:rsid w:val="00837B3A"/>
    <w:rsid w:val="0084111E"/>
    <w:rsid w:val="008A495E"/>
    <w:rsid w:val="008C1EC2"/>
    <w:rsid w:val="008C3539"/>
    <w:rsid w:val="008D7684"/>
    <w:rsid w:val="009034A2"/>
    <w:rsid w:val="009212CD"/>
    <w:rsid w:val="0093063B"/>
    <w:rsid w:val="0094066A"/>
    <w:rsid w:val="00945DB8"/>
    <w:rsid w:val="00950E84"/>
    <w:rsid w:val="009779A9"/>
    <w:rsid w:val="0098110C"/>
    <w:rsid w:val="00985A0E"/>
    <w:rsid w:val="0099389F"/>
    <w:rsid w:val="009D2AB9"/>
    <w:rsid w:val="00A050C9"/>
    <w:rsid w:val="00A120F3"/>
    <w:rsid w:val="00A12A30"/>
    <w:rsid w:val="00A408B7"/>
    <w:rsid w:val="00A40B73"/>
    <w:rsid w:val="00A625CB"/>
    <w:rsid w:val="00A71A45"/>
    <w:rsid w:val="00A727AF"/>
    <w:rsid w:val="00A75D1A"/>
    <w:rsid w:val="00A83D9A"/>
    <w:rsid w:val="00A84EE8"/>
    <w:rsid w:val="00A86258"/>
    <w:rsid w:val="00A97111"/>
    <w:rsid w:val="00AA02A1"/>
    <w:rsid w:val="00AB1D76"/>
    <w:rsid w:val="00AD7A9A"/>
    <w:rsid w:val="00B2432E"/>
    <w:rsid w:val="00B519B7"/>
    <w:rsid w:val="00B61535"/>
    <w:rsid w:val="00B64C0F"/>
    <w:rsid w:val="00B94BD6"/>
    <w:rsid w:val="00BB36A4"/>
    <w:rsid w:val="00C0424B"/>
    <w:rsid w:val="00C0445E"/>
    <w:rsid w:val="00C2214A"/>
    <w:rsid w:val="00C23B54"/>
    <w:rsid w:val="00C23E70"/>
    <w:rsid w:val="00C254B0"/>
    <w:rsid w:val="00C33A9C"/>
    <w:rsid w:val="00C55285"/>
    <w:rsid w:val="00C64F38"/>
    <w:rsid w:val="00C83D23"/>
    <w:rsid w:val="00C92633"/>
    <w:rsid w:val="00C96AAB"/>
    <w:rsid w:val="00CC00B2"/>
    <w:rsid w:val="00CC13C6"/>
    <w:rsid w:val="00CD6AA2"/>
    <w:rsid w:val="00D01D9C"/>
    <w:rsid w:val="00D37A58"/>
    <w:rsid w:val="00D45B9A"/>
    <w:rsid w:val="00D64320"/>
    <w:rsid w:val="00D67836"/>
    <w:rsid w:val="00D72AD2"/>
    <w:rsid w:val="00D73250"/>
    <w:rsid w:val="00D8622F"/>
    <w:rsid w:val="00DB7422"/>
    <w:rsid w:val="00DB7990"/>
    <w:rsid w:val="00DE695B"/>
    <w:rsid w:val="00DF0E82"/>
    <w:rsid w:val="00E002F2"/>
    <w:rsid w:val="00E33023"/>
    <w:rsid w:val="00E34055"/>
    <w:rsid w:val="00E34773"/>
    <w:rsid w:val="00E37C9A"/>
    <w:rsid w:val="00E42C4C"/>
    <w:rsid w:val="00E557EB"/>
    <w:rsid w:val="00E77B20"/>
    <w:rsid w:val="00E811A7"/>
    <w:rsid w:val="00E92EFB"/>
    <w:rsid w:val="00EB5509"/>
    <w:rsid w:val="00EF1684"/>
    <w:rsid w:val="00F16A92"/>
    <w:rsid w:val="00F35A16"/>
    <w:rsid w:val="00F6062C"/>
    <w:rsid w:val="00F812AB"/>
    <w:rsid w:val="00F95E4B"/>
    <w:rsid w:val="00FA159F"/>
    <w:rsid w:val="00FF1844"/>
    <w:rsid w:val="01C6410C"/>
    <w:rsid w:val="09251EE5"/>
    <w:rsid w:val="0B6D1F24"/>
    <w:rsid w:val="0E3618E6"/>
    <w:rsid w:val="0E604D18"/>
    <w:rsid w:val="0E9E3FB0"/>
    <w:rsid w:val="15EB5269"/>
    <w:rsid w:val="1AAB4C96"/>
    <w:rsid w:val="21475FA8"/>
    <w:rsid w:val="222B6580"/>
    <w:rsid w:val="27E55105"/>
    <w:rsid w:val="45B01EF4"/>
    <w:rsid w:val="50B63F80"/>
    <w:rsid w:val="55E320F3"/>
    <w:rsid w:val="58195EDF"/>
    <w:rsid w:val="5D1563E4"/>
    <w:rsid w:val="5E813D5E"/>
    <w:rsid w:val="691203B0"/>
    <w:rsid w:val="6EF960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6"/>
    <w:qFormat/>
    <w:uiPriority w:val="9"/>
    <w:pPr>
      <w:keepNext/>
      <w:keepLines/>
      <w:spacing w:before="100" w:beforeAutospacing="1" w:after="100" w:afterAutospacing="1" w:line="360" w:lineRule="auto"/>
      <w:jc w:val="center"/>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35"/>
    <w:qFormat/>
    <w:uiPriority w:val="99"/>
    <w:rPr>
      <w:rFonts w:ascii="宋体"/>
      <w:sz w:val="18"/>
      <w:szCs w:val="18"/>
    </w:rPr>
  </w:style>
  <w:style w:type="paragraph" w:styleId="4">
    <w:name w:val="annotation text"/>
    <w:basedOn w:val="1"/>
    <w:link w:val="23"/>
    <w:qFormat/>
    <w:uiPriority w:val="99"/>
    <w:pPr>
      <w:jc w:val="left"/>
    </w:pPr>
  </w:style>
  <w:style w:type="paragraph" w:styleId="5">
    <w:name w:val="Body Text"/>
    <w:basedOn w:val="1"/>
    <w:link w:val="38"/>
    <w:qFormat/>
    <w:uiPriority w:val="99"/>
    <w:pPr>
      <w:spacing w:after="120"/>
    </w:pPr>
  </w:style>
  <w:style w:type="paragraph" w:styleId="6">
    <w:name w:val="toc 3"/>
    <w:basedOn w:val="1"/>
    <w:next w:val="1"/>
    <w:uiPriority w:val="39"/>
    <w:pPr>
      <w:ind w:left="840" w:leftChars="400"/>
    </w:pPr>
  </w:style>
  <w:style w:type="paragraph" w:styleId="7">
    <w:name w:val="Plain Text"/>
    <w:basedOn w:val="1"/>
    <w:link w:val="33"/>
    <w:qFormat/>
    <w:uiPriority w:val="0"/>
    <w:rPr>
      <w:rFonts w:ascii="宋体" w:hAnsi="Courier New"/>
      <w:kern w:val="0"/>
      <w:sz w:val="20"/>
      <w:szCs w:val="20"/>
    </w:rPr>
  </w:style>
  <w:style w:type="paragraph" w:styleId="8">
    <w:name w:val="Date"/>
    <w:basedOn w:val="1"/>
    <w:next w:val="1"/>
    <w:link w:val="41"/>
    <w:qFormat/>
    <w:uiPriority w:val="0"/>
    <w:pPr>
      <w:ind w:left="100" w:leftChars="2500"/>
    </w:pPr>
    <w:rPr>
      <w:rFonts w:ascii="Times New Roman" w:hAnsi="Times New Roman"/>
      <w:kern w:val="0"/>
      <w:sz w:val="20"/>
      <w:szCs w:val="24"/>
    </w:rPr>
  </w:style>
  <w:style w:type="paragraph" w:styleId="9">
    <w:name w:val="Balloon Text"/>
    <w:basedOn w:val="1"/>
    <w:link w:val="24"/>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rPr>
      <w:b/>
      <w:sz w:val="24"/>
    </w:rPr>
  </w:style>
  <w:style w:type="paragraph" w:styleId="13">
    <w:name w:val="toc 2"/>
    <w:basedOn w:val="1"/>
    <w:next w:val="1"/>
    <w:qFormat/>
    <w:uiPriority w:val="39"/>
    <w:pPr>
      <w:tabs>
        <w:tab w:val="right" w:leader="dot" w:pos="8902"/>
      </w:tabs>
      <w:ind w:left="420" w:leftChars="200"/>
      <w:jc w:val="left"/>
    </w:pPr>
    <w:rPr>
      <w:b/>
      <w:sz w:val="24"/>
    </w:rPr>
  </w:style>
  <w:style w:type="paragraph" w:styleId="14">
    <w:name w:val="annotation subject"/>
    <w:basedOn w:val="4"/>
    <w:next w:val="4"/>
    <w:link w:val="22"/>
    <w:qFormat/>
    <w:uiPriority w:val="99"/>
    <w:rPr>
      <w:b/>
      <w:bCs/>
    </w:rPr>
  </w:style>
  <w:style w:type="paragraph" w:styleId="15">
    <w:name w:val="Body Text First Indent"/>
    <w:basedOn w:val="5"/>
    <w:link w:val="39"/>
    <w:qFormat/>
    <w:uiPriority w:val="0"/>
    <w:pPr>
      <w:ind w:firstLine="420" w:firstLineChars="100"/>
    </w:pPr>
    <w:rPr>
      <w:kern w:val="0"/>
      <w:sz w:val="20"/>
      <w:szCs w:val="24"/>
    </w:rPr>
  </w:style>
  <w:style w:type="table" w:styleId="17">
    <w:name w:val="Table Grid"/>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Hyperlink"/>
    <w:qFormat/>
    <w:uiPriority w:val="99"/>
    <w:rPr>
      <w:color w:val="0000FF"/>
      <w:u w:val="single"/>
    </w:rPr>
  </w:style>
  <w:style w:type="character" w:styleId="20">
    <w:name w:val="annotation reference"/>
    <w:qFormat/>
    <w:uiPriority w:val="99"/>
    <w:rPr>
      <w:sz w:val="21"/>
      <w:szCs w:val="21"/>
    </w:rPr>
  </w:style>
  <w:style w:type="character" w:customStyle="1" w:styleId="21">
    <w:name w:val="页脚 Char"/>
    <w:link w:val="10"/>
    <w:qFormat/>
    <w:uiPriority w:val="99"/>
    <w:rPr>
      <w:kern w:val="2"/>
      <w:sz w:val="18"/>
      <w:szCs w:val="18"/>
    </w:rPr>
  </w:style>
  <w:style w:type="character" w:customStyle="1" w:styleId="22">
    <w:name w:val="批注主题 Char"/>
    <w:link w:val="14"/>
    <w:qFormat/>
    <w:uiPriority w:val="99"/>
    <w:rPr>
      <w:b/>
      <w:bCs/>
      <w:kern w:val="2"/>
      <w:sz w:val="21"/>
      <w:szCs w:val="22"/>
    </w:rPr>
  </w:style>
  <w:style w:type="character" w:customStyle="1" w:styleId="23">
    <w:name w:val="批注文字 Char"/>
    <w:link w:val="4"/>
    <w:qFormat/>
    <w:uiPriority w:val="99"/>
    <w:rPr>
      <w:kern w:val="2"/>
      <w:sz w:val="21"/>
      <w:szCs w:val="22"/>
    </w:rPr>
  </w:style>
  <w:style w:type="character" w:customStyle="1" w:styleId="24">
    <w:name w:val="批注框文本 Char"/>
    <w:link w:val="9"/>
    <w:qFormat/>
    <w:uiPriority w:val="99"/>
    <w:rPr>
      <w:kern w:val="2"/>
      <w:sz w:val="18"/>
      <w:szCs w:val="18"/>
    </w:rPr>
  </w:style>
  <w:style w:type="character" w:customStyle="1" w:styleId="25">
    <w:name w:val="页眉 Char"/>
    <w:link w:val="11"/>
    <w:qFormat/>
    <w:uiPriority w:val="99"/>
    <w:rPr>
      <w:kern w:val="2"/>
      <w:sz w:val="18"/>
      <w:szCs w:val="18"/>
    </w:rPr>
  </w:style>
  <w:style w:type="paragraph" w:customStyle="1" w:styleId="26">
    <w:name w:val="p0"/>
    <w:basedOn w:val="1"/>
    <w:qFormat/>
    <w:uiPriority w:val="0"/>
    <w:pPr>
      <w:widowControl/>
    </w:pPr>
    <w:rPr>
      <w:kern w:val="0"/>
      <w:szCs w:val="21"/>
    </w:rPr>
  </w:style>
  <w:style w:type="paragraph" w:styleId="27">
    <w:name w:val="List Paragraph"/>
    <w:basedOn w:val="1"/>
    <w:qFormat/>
    <w:uiPriority w:val="34"/>
    <w:pPr>
      <w:ind w:firstLine="420" w:firstLineChars="200"/>
    </w:p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正文 A"/>
    <w:qFormat/>
    <w:uiPriority w:val="0"/>
    <w:pPr>
      <w:widowControl w:val="0"/>
      <w:ind w:firstLine="420"/>
    </w:pPr>
    <w:rPr>
      <w:rFonts w:ascii="Arial Unicode MS" w:hAnsi="Arial Unicode MS" w:eastAsia="Arial Unicode MS" w:cs="Arial Unicode MS"/>
      <w:color w:val="000000"/>
      <w:kern w:val="2"/>
      <w:sz w:val="21"/>
      <w:szCs w:val="21"/>
      <w:lang w:val="en-US" w:eastAsia="zh-CN" w:bidi="ar-SA"/>
    </w:rPr>
  </w:style>
  <w:style w:type="paragraph" w:customStyle="1" w:styleId="30">
    <w:name w:val="标题 21"/>
    <w:next w:val="29"/>
    <w:qFormat/>
    <w:uiPriority w:val="0"/>
    <w:pPr>
      <w:keepNext/>
      <w:keepLines/>
      <w:widowControl w:val="0"/>
      <w:spacing w:before="260" w:after="260" w:line="416" w:lineRule="auto"/>
      <w:jc w:val="both"/>
      <w:outlineLvl w:val="1"/>
    </w:pPr>
    <w:rPr>
      <w:rFonts w:ascii="Arial" w:hAnsi="Arial" w:eastAsia="Arial" w:cs="Arial"/>
      <w:b/>
      <w:bCs/>
      <w:color w:val="000000"/>
      <w:kern w:val="2"/>
      <w:sz w:val="32"/>
      <w:szCs w:val="32"/>
      <w:lang w:val="en-US" w:eastAsia="zh-CN" w:bidi="ar-SA"/>
    </w:rPr>
  </w:style>
  <w:style w:type="paragraph" w:customStyle="1" w:styleId="31">
    <w:name w:val="_Style 2"/>
    <w:basedOn w:val="1"/>
    <w:qFormat/>
    <w:uiPriority w:val="34"/>
    <w:pPr>
      <w:ind w:firstLine="420" w:firstLineChars="200"/>
    </w:pPr>
    <w:rPr>
      <w:rFonts w:ascii="Times New Roman" w:hAnsi="Times New Roman"/>
      <w:szCs w:val="24"/>
    </w:rPr>
  </w:style>
  <w:style w:type="character" w:customStyle="1" w:styleId="32">
    <w:name w:val="纯文本 Char"/>
    <w:link w:val="7"/>
    <w:qFormat/>
    <w:uiPriority w:val="0"/>
    <w:rPr>
      <w:rFonts w:ascii="宋体" w:hAnsi="Courier New"/>
    </w:rPr>
  </w:style>
  <w:style w:type="character" w:customStyle="1" w:styleId="33">
    <w:name w:val="纯文本 Char1"/>
    <w:basedOn w:val="18"/>
    <w:link w:val="7"/>
    <w:qFormat/>
    <w:uiPriority w:val="99"/>
    <w:rPr>
      <w:rFonts w:ascii="宋体" w:hAnsi="Courier New" w:cs="Courier New"/>
      <w:kern w:val="2"/>
      <w:sz w:val="21"/>
      <w:szCs w:val="21"/>
    </w:rPr>
  </w:style>
  <w:style w:type="paragraph" w:customStyle="1" w:styleId="34">
    <w:name w:val="样式1"/>
    <w:basedOn w:val="1"/>
    <w:qFormat/>
    <w:uiPriority w:val="0"/>
    <w:pPr>
      <w:numPr>
        <w:ilvl w:val="0"/>
        <w:numId w:val="1"/>
      </w:numPr>
      <w:tabs>
        <w:tab w:val="clear" w:pos="1254"/>
      </w:tabs>
    </w:pPr>
    <w:rPr>
      <w:rFonts w:ascii="宋体" w:hAnsi="宋体" w:eastAsia="楷体_GB2312"/>
      <w:sz w:val="26"/>
      <w:szCs w:val="20"/>
    </w:rPr>
  </w:style>
  <w:style w:type="character" w:customStyle="1" w:styleId="35">
    <w:name w:val="文档结构图 Char"/>
    <w:basedOn w:val="18"/>
    <w:link w:val="3"/>
    <w:qFormat/>
    <w:uiPriority w:val="99"/>
    <w:rPr>
      <w:rFonts w:ascii="宋体"/>
      <w:kern w:val="2"/>
      <w:sz w:val="18"/>
      <w:szCs w:val="18"/>
    </w:rPr>
  </w:style>
  <w:style w:type="character" w:customStyle="1" w:styleId="36">
    <w:name w:val="标题 1 Char"/>
    <w:basedOn w:val="18"/>
    <w:link w:val="2"/>
    <w:qFormat/>
    <w:uiPriority w:val="9"/>
    <w:rPr>
      <w:b/>
      <w:bCs/>
      <w:kern w:val="44"/>
      <w:sz w:val="44"/>
      <w:szCs w:val="44"/>
    </w:rPr>
  </w:style>
  <w:style w:type="character" w:customStyle="1" w:styleId="37">
    <w:name w:val="正文首行缩进 Char"/>
    <w:link w:val="15"/>
    <w:qFormat/>
    <w:uiPriority w:val="0"/>
    <w:rPr>
      <w:szCs w:val="24"/>
    </w:rPr>
  </w:style>
  <w:style w:type="character" w:customStyle="1" w:styleId="38">
    <w:name w:val="正文文本 Char"/>
    <w:basedOn w:val="18"/>
    <w:link w:val="5"/>
    <w:qFormat/>
    <w:uiPriority w:val="99"/>
    <w:rPr>
      <w:kern w:val="2"/>
      <w:sz w:val="21"/>
      <w:szCs w:val="22"/>
    </w:rPr>
  </w:style>
  <w:style w:type="character" w:customStyle="1" w:styleId="39">
    <w:name w:val="正文首行缩进 Char1"/>
    <w:basedOn w:val="38"/>
    <w:link w:val="15"/>
    <w:qFormat/>
    <w:uiPriority w:val="99"/>
  </w:style>
  <w:style w:type="character" w:customStyle="1" w:styleId="40">
    <w:name w:val="日期 Char"/>
    <w:link w:val="8"/>
    <w:uiPriority w:val="0"/>
    <w:rPr>
      <w:rFonts w:ascii="Times New Roman" w:hAnsi="Times New Roman"/>
      <w:szCs w:val="24"/>
    </w:rPr>
  </w:style>
  <w:style w:type="character" w:customStyle="1" w:styleId="41">
    <w:name w:val="日期 Char1"/>
    <w:basedOn w:val="18"/>
    <w:link w:val="8"/>
    <w:qFormat/>
    <w:uiPriority w:val="99"/>
    <w:rPr>
      <w:kern w:val="2"/>
      <w:sz w:val="21"/>
      <w:szCs w:val="22"/>
    </w:rPr>
  </w:style>
  <w:style w:type="paragraph" w:customStyle="1" w:styleId="42">
    <w:name w:val="图表文字"/>
    <w:basedOn w:val="1"/>
    <w:qFormat/>
    <w:uiPriority w:val="0"/>
    <w:pPr>
      <w:widowControl/>
      <w:adjustRightInd w:val="0"/>
      <w:spacing w:before="120" w:after="120"/>
      <w:jc w:val="center"/>
    </w:pPr>
    <w:rPr>
      <w:rFonts w:ascii="黑体" w:eastAsia="黑体"/>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E19423-6035-4283-BA87-A743C9816DE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37</Pages>
  <Words>14541</Words>
  <Characters>14918</Characters>
  <Lines>122</Lines>
  <Paragraphs>34</Paragraphs>
  <TotalTime>4</TotalTime>
  <ScaleCrop>false</ScaleCrop>
  <LinksUpToDate>false</LinksUpToDate>
  <CharactersWithSpaces>15760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2017-11-23T06:22:00Z</dcterms:created>
  <dc:creator>OA顾问</dc:creator>
  <cp:lastModifiedBy>危伟</cp:lastModifiedBy>
  <cp:lastPrinted>2020-11-24T07:54:00Z</cp:lastPrinted>
  <dcterms:modified xsi:type="dcterms:W3CDTF">2022-12-09T07:25:46Z</dcterms:modified>
  <dc:title>流花展馆商业策划项目</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554C8BEFF80D4E82977F344370F28FA2</vt:lpwstr>
  </property>
</Properties>
</file>